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wordWrap w:val="0"/>
        <w:autoSpaceDE/>
        <w:autoSpaceDN/>
        <w:spacing w:before="0" w:after="0" w:line="240" w:lineRule="auto"/>
        <w:ind w:right="0" w:firstLine="0"/>
        <w:jc w:val="center"/>
        <w:rPr>
          <w:rFonts w:hint="eastAsia" w:ascii="仿宋" w:hAnsi="仿宋" w:eastAsia="仿宋" w:cs="仿宋"/>
          <w:b/>
          <w:smallCaps w:val="0"/>
          <w:color w:val="auto"/>
          <w:spacing w:val="0"/>
          <w:position w:val="0"/>
          <w:sz w:val="36"/>
          <w:szCs w:val="3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仿宋" w:hAnsi="仿宋" w:eastAsia="仿宋" w:cs="仿宋"/>
          <w:b/>
          <w:i w:val="0"/>
          <w:caps w:val="0"/>
          <w:color w:val="545454"/>
          <w:spacing w:val="8"/>
          <w:sz w:val="36"/>
          <w:szCs w:val="24"/>
          <w:lang w:val="en-US" w:eastAsia="zh-CN"/>
        </w:rPr>
      </w:pPr>
      <w:r>
        <w:rPr>
          <w:rFonts w:hint="eastAsia" w:ascii="仿宋" w:hAnsi="仿宋" w:eastAsia="仿宋"/>
          <w:b/>
          <w:sz w:val="36"/>
          <w:lang w:val="en-US" w:eastAsia="zh-CN"/>
        </w:rPr>
        <w:t>焦炭2009：5阳连攻，围猎空头</w:t>
      </w:r>
    </w:p>
    <w:p>
      <w:pPr>
        <w:rPr>
          <w:rFonts w:hint="default" w:ascii="仿宋" w:hAnsi="仿宋" w:eastAsia="仿宋" w:cs="仿宋"/>
          <w:i w:val="0"/>
          <w:caps w:val="0"/>
          <w:color w:val="000000"/>
          <w:spacing w:val="0"/>
          <w:sz w:val="24"/>
          <w:szCs w:val="24"/>
          <w:shd w:val="clear" w:fill="FFFFFF"/>
          <w:lang w:val="en-US" w:eastAsia="zh-CN"/>
        </w:rPr>
      </w:pPr>
      <w:r>
        <w:rPr>
          <w:rFonts w:hint="eastAsia"/>
        </w:rPr>
        <w:t xml:space="preserve"> </w:t>
      </w:r>
      <w:r>
        <w:rPr>
          <w:rFonts w:hint="eastAsia" w:ascii="仿宋" w:hAnsi="仿宋" w:eastAsia="仿宋" w:cs="仿宋"/>
          <w:i w:val="0"/>
          <w:caps w:val="0"/>
          <w:color w:val="000000"/>
          <w:spacing w:val="0"/>
          <w:sz w:val="28"/>
          <w:szCs w:val="28"/>
          <w:shd w:val="clear" w:fill="FFFFFF"/>
          <w:lang w:val="en-US" w:eastAsia="zh-CN"/>
        </w:rPr>
        <w:t xml:space="preserve">   </w:t>
      </w:r>
      <w:r>
        <w:rPr>
          <w:rFonts w:hint="eastAsia" w:ascii="仿宋" w:hAnsi="仿宋" w:eastAsia="仿宋" w:cs="仿宋"/>
          <w:i w:val="0"/>
          <w:caps w:val="0"/>
          <w:color w:val="000000"/>
          <w:spacing w:val="0"/>
          <w:sz w:val="24"/>
          <w:szCs w:val="24"/>
          <w:shd w:val="clear" w:fill="FFFFFF"/>
          <w:lang w:val="en-US" w:eastAsia="zh-CN"/>
        </w:rPr>
        <w:t>黑色系商品中：铁矿石，螺纹钢，焦炭，我</w:t>
      </w:r>
      <w:bookmarkStart w:id="0" w:name="_GoBack"/>
      <w:bookmarkEnd w:id="0"/>
      <w:r>
        <w:rPr>
          <w:rFonts w:hint="eastAsia" w:ascii="仿宋" w:hAnsi="仿宋" w:eastAsia="仿宋" w:cs="仿宋"/>
          <w:i w:val="0"/>
          <w:caps w:val="0"/>
          <w:color w:val="000000"/>
          <w:spacing w:val="0"/>
          <w:sz w:val="24"/>
          <w:szCs w:val="24"/>
          <w:shd w:val="clear" w:fill="FFFFFF"/>
          <w:lang w:val="en-US" w:eastAsia="zh-CN"/>
        </w:rPr>
        <w:t>一直称呼它们为“黑色三兄弟”，不仅同属黑色系，技术走势更是关联度极高。其中，铁矿石总是充当带头大哥的角色，螺纹居中，焦炭是小弟。本轮上涨，铁矿石一飞冲天，焦炭也在本周一突破前高平台，展开5连阳攻击，跟前期突破平台的铁矿石走势如出一辙。</w:t>
      </w:r>
    </w:p>
    <w:p>
      <w:pPr>
        <w:rPr>
          <w:rFonts w:hint="eastAsia" w:ascii="仿宋" w:hAnsi="仿宋" w:eastAsia="仿宋" w:cs="仿宋"/>
          <w:i w:val="0"/>
          <w:caps w:val="0"/>
          <w:color w:val="000000"/>
          <w:spacing w:val="0"/>
          <w:sz w:val="24"/>
          <w:szCs w:val="24"/>
          <w:shd w:val="clear" w:fill="FFFFFF"/>
          <w:lang w:val="en-US" w:eastAsia="zh-CN"/>
        </w:rPr>
      </w:pPr>
      <w:r>
        <w:rPr>
          <w:rFonts w:hint="eastAsia" w:ascii="仿宋" w:hAnsi="仿宋" w:eastAsia="仿宋" w:cs="仿宋"/>
          <w:i w:val="0"/>
          <w:caps w:val="0"/>
          <w:color w:val="000000"/>
          <w:spacing w:val="0"/>
          <w:sz w:val="24"/>
          <w:szCs w:val="24"/>
          <w:shd w:val="clear" w:fill="FFFFFF"/>
          <w:lang w:val="en-US" w:eastAsia="zh-CN"/>
        </w:rPr>
        <w:drawing>
          <wp:inline distT="0" distB="0" distL="114300" distR="114300">
            <wp:extent cx="5271135" cy="2998470"/>
            <wp:effectExtent l="0" t="0" r="5715" b="11430"/>
            <wp:docPr id="1" name="图片 1" descr="焦炭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焦炭2009"/>
                    <pic:cNvPicPr>
                      <a:picLocks noChangeAspect="1"/>
                    </pic:cNvPicPr>
                  </pic:nvPicPr>
                  <pic:blipFill>
                    <a:blip r:embed="rId10"/>
                    <a:stretch>
                      <a:fillRect/>
                    </a:stretch>
                  </pic:blipFill>
                  <pic:spPr>
                    <a:xfrm>
                      <a:off x="0" y="0"/>
                      <a:ext cx="5271135" cy="2998470"/>
                    </a:xfrm>
                    <a:prstGeom prst="rect">
                      <a:avLst/>
                    </a:prstGeom>
                  </pic:spPr>
                </pic:pic>
              </a:graphicData>
            </a:graphic>
          </wp:inline>
        </w:drawing>
      </w:r>
    </w:p>
    <w:p>
      <w:pPr>
        <w:tabs>
          <w:tab w:val="left" w:pos="7551"/>
        </w:tabs>
        <w:rPr>
          <w:rFonts w:hint="eastAsia" w:ascii="仿宋" w:hAnsi="仿宋" w:eastAsia="仿宋" w:cs="仿宋"/>
          <w:sz w:val="24"/>
          <w:szCs w:val="24"/>
        </w:rPr>
      </w:pPr>
      <w:r>
        <w:rPr>
          <w:rFonts w:hint="eastAsia" w:ascii="仿宋" w:hAnsi="仿宋" w:eastAsia="仿宋" w:cs="仿宋"/>
          <w:sz w:val="24"/>
          <w:szCs w:val="24"/>
        </w:rPr>
        <w:t>图片数据来源自博易大师</w:t>
      </w:r>
    </w:p>
    <w:p>
      <w:pPr>
        <w:tabs>
          <w:tab w:val="left" w:pos="7551"/>
        </w:tabs>
        <w:rPr>
          <w:rFonts w:hint="eastAsia" w:ascii="仿宋" w:hAnsi="仿宋" w:eastAsia="仿宋" w:cs="仿宋"/>
          <w:sz w:val="24"/>
          <w:szCs w:val="24"/>
          <w:lang w:val="en-US" w:eastAsia="zh-CN"/>
        </w:rPr>
      </w:pPr>
    </w:p>
    <w:p>
      <w:pPr>
        <w:ind w:firstLine="480" w:firstLineChars="200"/>
        <w:rPr>
          <w:rFonts w:hint="eastAsia" w:ascii="仿宋" w:hAnsi="仿宋" w:eastAsia="仿宋" w:cs="仿宋"/>
          <w:i w:val="0"/>
          <w:caps w:val="0"/>
          <w:color w:val="000000"/>
          <w:spacing w:val="0"/>
          <w:sz w:val="24"/>
          <w:szCs w:val="24"/>
          <w:shd w:val="clear" w:fill="FFFFFF"/>
          <w:lang w:val="en-US" w:eastAsia="zh-CN"/>
        </w:rPr>
      </w:pPr>
      <w:r>
        <w:rPr>
          <w:rFonts w:hint="eastAsia" w:ascii="仿宋" w:hAnsi="仿宋" w:eastAsia="仿宋" w:cs="仿宋"/>
          <w:i w:val="0"/>
          <w:caps w:val="0"/>
          <w:color w:val="000000"/>
          <w:spacing w:val="0"/>
          <w:sz w:val="24"/>
          <w:szCs w:val="24"/>
          <w:shd w:val="clear" w:fill="FFFFFF"/>
          <w:lang w:val="en-US" w:eastAsia="zh-CN"/>
        </w:rPr>
        <w:t>从技术图表的相似度来看，铁矿石和焦炭的主控力量应该是同一批资金，当老大铁矿石拉到一定价格区间时，焦炭立即展开补涨，手法更是雷同。如图所示，价格上穿前高平台后，焦炭迅速上攻，期间并不给空单认错机会，以期将平台之下的空头悉数捕获。</w:t>
      </w:r>
    </w:p>
    <w:p>
      <w:pPr>
        <w:ind w:firstLine="480" w:firstLineChars="200"/>
        <w:rPr>
          <w:rFonts w:hint="eastAsia" w:ascii="仿宋" w:hAnsi="仿宋" w:eastAsia="仿宋" w:cs="仿宋"/>
          <w:i w:val="0"/>
          <w:caps w:val="0"/>
          <w:color w:val="000000"/>
          <w:spacing w:val="0"/>
          <w:sz w:val="24"/>
          <w:szCs w:val="24"/>
          <w:shd w:val="clear" w:fill="FFFFFF"/>
          <w:lang w:val="en-US" w:eastAsia="zh-CN"/>
        </w:rPr>
      </w:pPr>
      <w:r>
        <w:rPr>
          <w:rFonts w:hint="eastAsia" w:ascii="仿宋" w:hAnsi="仿宋" w:eastAsia="仿宋" w:cs="仿宋"/>
          <w:i w:val="0"/>
          <w:caps w:val="0"/>
          <w:color w:val="000000"/>
          <w:spacing w:val="0"/>
          <w:sz w:val="24"/>
          <w:szCs w:val="24"/>
          <w:shd w:val="clear" w:fill="FFFFFF"/>
          <w:lang w:val="en-US" w:eastAsia="zh-CN"/>
        </w:rPr>
        <w:t>细看近期的5连阳上攻，张弛有度，不疾不徐，温和放量，主力多头常以日内调整完成修复，此种走势对有优势底仓的多头极为有利。但截至昨天下午收盘，大哥铁矿石出现中阴回落，焦炭尾盘涨幅亦收窄，好在全天并未减仓，主多资金仍在其中。短期震荡难免，中长线继续看涨，为避免利润回吐同时又最大限度跟随趋势，建议投资者可把我教给大家的动态止盈操作系统加上去即可应付自如。</w:t>
      </w:r>
    </w:p>
    <w:p>
      <w:pPr>
        <w:jc w:val="center"/>
        <w:rPr>
          <w:rFonts w:hint="eastAsia" w:ascii="仿宋" w:hAnsi="仿宋" w:eastAsia="仿宋" w:cs="仿宋"/>
          <w:b/>
          <w:bCs/>
          <w:sz w:val="28"/>
          <w:szCs w:val="28"/>
          <w:lang w:eastAsia="zh-CN"/>
        </w:rPr>
      </w:pPr>
      <w:r>
        <w:rPr>
          <w:rFonts w:hint="eastAsia" w:ascii="仿宋" w:hAnsi="仿宋" w:eastAsia="仿宋" w:cs="仿宋"/>
          <w:b/>
          <w:bCs/>
          <w:sz w:val="24"/>
          <w:szCs w:val="24"/>
          <w:lang w:eastAsia="zh-CN"/>
        </w:rPr>
        <w:drawing>
          <wp:inline distT="0" distB="0" distL="114300" distR="114300">
            <wp:extent cx="3505200" cy="3657600"/>
            <wp:effectExtent l="0" t="0" r="0" b="0"/>
            <wp:docPr id="3" name="图片 3" descr="研究所开户二维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研究所开户二维码1"/>
                    <pic:cNvPicPr>
                      <a:picLocks noChangeAspect="1"/>
                    </pic:cNvPicPr>
                  </pic:nvPicPr>
                  <pic:blipFill>
                    <a:blip r:embed="rId11"/>
                    <a:stretch>
                      <a:fillRect/>
                    </a:stretch>
                  </pic:blipFill>
                  <pic:spPr>
                    <a:xfrm>
                      <a:off x="0" y="0"/>
                      <a:ext cx="3505200" cy="3657600"/>
                    </a:xfrm>
                    <a:prstGeom prst="rect">
                      <a:avLst/>
                    </a:prstGeom>
                  </pic:spPr>
                </pic:pic>
              </a:graphicData>
            </a:graphic>
          </wp:inline>
        </w:drawing>
      </w:r>
    </w:p>
    <w:p>
      <w:pPr>
        <w:jc w:val="center"/>
        <w:rPr>
          <w:rFonts w:ascii="仿宋" w:hAnsi="仿宋" w:eastAsia="仿宋" w:cs="仿宋"/>
          <w:sz w:val="24"/>
          <w:szCs w:val="24"/>
        </w:rPr>
      </w:pPr>
    </w:p>
    <w:p>
      <w:r>
        <mc:AlternateContent>
          <mc:Choice Requires="wps">
            <w:drawing>
              <wp:anchor distT="0" distB="0" distL="114300" distR="114300" simplePos="0" relativeHeight="251661312" behindDoc="0" locked="0" layoutInCell="1" allowOverlap="1">
                <wp:simplePos x="0" y="0"/>
                <wp:positionH relativeFrom="column">
                  <wp:posOffset>71755</wp:posOffset>
                </wp:positionH>
                <wp:positionV relativeFrom="paragraph">
                  <wp:posOffset>113665</wp:posOffset>
                </wp:positionV>
                <wp:extent cx="5934710" cy="647065"/>
                <wp:effectExtent l="0" t="0" r="1905" b="317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934710" cy="647065"/>
                        </a:xfrm>
                        <a:prstGeom prst="rect">
                          <a:avLst/>
                        </a:prstGeom>
                        <a:noFill/>
                        <a:ln>
                          <a:noFill/>
                        </a:ln>
                        <a:effectLst/>
                      </wps:spPr>
                      <wps:txbx>
                        <w:txbxContent>
                          <w:p>
                            <w:pPr>
                              <w:snapToGrid w:val="0"/>
                              <w:jc w:val="center"/>
                              <w:rPr>
                                <w:rFonts w:ascii="宋体" w:hAnsi="宋体" w:eastAsia="宋体"/>
                                <w:color w:val="FFFFFF"/>
                                <w:sz w:val="20"/>
                              </w:rPr>
                            </w:pPr>
                            <w:r>
                              <w:rPr>
                                <w:rFonts w:hint="eastAsia" w:ascii="宋体" w:hAnsi="宋体" w:eastAsia="宋体"/>
                                <w:color w:val="FFFFFF"/>
                                <w:sz w:val="20"/>
                              </w:rPr>
                              <w:t>国金期货有限责任公司</w:t>
                            </w:r>
                          </w:p>
                          <w:p>
                            <w:pPr>
                              <w:snapToGrid w:val="0"/>
                              <w:jc w:val="center"/>
                              <w:rPr>
                                <w:rFonts w:ascii="宋体" w:hAnsi="宋体" w:eastAsia="宋体"/>
                                <w:color w:val="FFFFFF"/>
                                <w:sz w:val="20"/>
                              </w:rPr>
                            </w:pPr>
                            <w:r>
                              <w:rPr>
                                <w:rFonts w:ascii="宋体" w:hAnsi="宋体" w:eastAsia="宋体"/>
                                <w:color w:val="FFFFFF"/>
                                <w:sz w:val="20"/>
                              </w:rPr>
                              <w:t>联系电话：</w:t>
                            </w:r>
                            <w:r>
                              <w:rPr>
                                <w:rFonts w:hint="eastAsia" w:ascii="宋体" w:hAnsi="宋体" w:eastAsia="宋体"/>
                                <w:color w:val="FFFFFF"/>
                                <w:sz w:val="20"/>
                              </w:rPr>
                              <w:t>028-61304631</w:t>
                            </w:r>
                          </w:p>
                          <w:p>
                            <w:pPr>
                              <w:snapToGrid w:val="0"/>
                              <w:jc w:val="center"/>
                              <w:rPr>
                                <w:rFonts w:ascii="宋体" w:hAnsi="宋体" w:eastAsia="宋体"/>
                                <w:color w:val="FFFFFF"/>
                                <w:sz w:val="20"/>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65pt;margin-top:8.95pt;height:50.95pt;width:467.3pt;z-index:251661312;mso-width-relative:page;mso-height-relative:page;" filled="f" stroked="f" coordsize="21600,21600" o:gfxdata="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JH2Z1QAAAAkBAAAPAAAAAAAAAAEAIAAAACIAAABkcnMvZG93bnJl&#10;di54bWxQSwECFAAUAAAACACHTuJAEkyE2gACAADVAwAADgAAAAAAAAABACAAAAAkAQAAZHJzL2Uy&#10;b0RvYy54bWxQSwUGAAAAAAYABgBZAQAAlgUAAAAA&#10;">
                <v:fill on="f" focussize="0,0"/>
                <v:stroke on="f"/>
                <v:imagedata o:title=""/>
                <o:lock v:ext="edit" aspectratio="f"/>
                <v:textbox>
                  <w:txbxContent>
                    <w:p>
                      <w:pPr>
                        <w:snapToGrid w:val="0"/>
                        <w:jc w:val="center"/>
                        <w:rPr>
                          <w:rFonts w:ascii="宋体" w:hAnsi="宋体" w:eastAsia="宋体"/>
                          <w:color w:val="FFFFFF"/>
                          <w:sz w:val="20"/>
                        </w:rPr>
                      </w:pPr>
                      <w:r>
                        <w:rPr>
                          <w:rFonts w:hint="eastAsia" w:ascii="宋体" w:hAnsi="宋体" w:eastAsia="宋体"/>
                          <w:color w:val="FFFFFF"/>
                          <w:sz w:val="20"/>
                        </w:rPr>
                        <w:t>国金期货有限责任公司</w:t>
                      </w:r>
                    </w:p>
                    <w:p>
                      <w:pPr>
                        <w:snapToGrid w:val="0"/>
                        <w:jc w:val="center"/>
                        <w:rPr>
                          <w:rFonts w:ascii="宋体" w:hAnsi="宋体" w:eastAsia="宋体"/>
                          <w:color w:val="FFFFFF"/>
                          <w:sz w:val="20"/>
                        </w:rPr>
                      </w:pPr>
                      <w:r>
                        <w:rPr>
                          <w:rFonts w:ascii="宋体" w:hAnsi="宋体" w:eastAsia="宋体"/>
                          <w:color w:val="FFFFFF"/>
                          <w:sz w:val="20"/>
                        </w:rPr>
                        <w:t>联系电话：</w:t>
                      </w:r>
                      <w:r>
                        <w:rPr>
                          <w:rFonts w:hint="eastAsia" w:ascii="宋体" w:hAnsi="宋体" w:eastAsia="宋体"/>
                          <w:color w:val="FFFFFF"/>
                          <w:sz w:val="20"/>
                        </w:rPr>
                        <w:t>028-61304631</w:t>
                      </w:r>
                    </w:p>
                    <w:p>
                      <w:pPr>
                        <w:snapToGrid w:val="0"/>
                        <w:jc w:val="center"/>
                        <w:rPr>
                          <w:rFonts w:ascii="宋体" w:hAnsi="宋体" w:eastAsia="宋体"/>
                          <w:color w:val="FFFFFF"/>
                          <w:sz w:val="20"/>
                        </w:rPr>
                      </w:pPr>
                    </w:p>
                  </w:txbxContent>
                </v:textbox>
              </v:shape>
            </w:pict>
          </mc:Fallback>
        </mc:AlternateContent>
      </w:r>
      <w:r>
        <w:drawing>
          <wp:inline distT="0" distB="0" distL="0" distR="0">
            <wp:extent cx="6188710" cy="2053590"/>
            <wp:effectExtent l="0" t="0" r="254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88710" cy="2053590"/>
                    </a:xfrm>
                    <a:prstGeom prst="rect">
                      <a:avLst/>
                    </a:prstGeom>
                    <a:noFill/>
                  </pic:spPr>
                </pic:pic>
              </a:graphicData>
            </a:graphic>
          </wp:inline>
        </w:drawing>
      </w: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1077" w:footer="119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512"/>
      </w:tabs>
      <w:rPr>
        <w:color w:val="C55A11" w:themeColor="accent2" w:themeShade="BF"/>
      </w:rPr>
    </w:pPr>
    <w:r>
      <w:rPr>
        <w:color w:val="C55A11" w:themeColor="accent2" w:themeShade="BF"/>
      </w:rPr>
      <mc:AlternateContent>
        <mc:Choice Requires="wps">
          <w:drawing>
            <wp:anchor distT="45720" distB="45720" distL="114300" distR="114300" simplePos="0" relativeHeight="251659264" behindDoc="0" locked="0" layoutInCell="1" allowOverlap="1">
              <wp:simplePos x="0" y="0"/>
              <wp:positionH relativeFrom="margin">
                <wp:posOffset>4111625</wp:posOffset>
              </wp:positionH>
              <wp:positionV relativeFrom="paragraph">
                <wp:posOffset>-144145</wp:posOffset>
              </wp:positionV>
              <wp:extent cx="2250440" cy="314960"/>
              <wp:effectExtent l="0" t="0" r="0"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50440" cy="314960"/>
                      </a:xfrm>
                      <a:prstGeom prst="rect">
                        <a:avLst/>
                      </a:prstGeom>
                      <a:noFill/>
                      <a:ln w="9525">
                        <a:noFill/>
                        <a:miter lim="800000"/>
                      </a:ln>
                    </wps:spPr>
                    <wps:txbx>
                      <w:txbxContent>
                        <w:p>
                          <w:pPr>
                            <w:rPr>
                              <w:color w:val="FFFFFF" w:themeColor="background1"/>
                              <w:sz w:val="24"/>
                              <w14:textFill>
                                <w14:solidFill>
                                  <w14:schemeClr w14:val="bg1"/>
                                </w14:solidFill>
                              </w14:textFill>
                            </w:rPr>
                          </w:pPr>
                          <w:r>
                            <w:rPr>
                              <w:color w:val="FFFFFF" w:themeColor="background1"/>
                              <w:sz w:val="24"/>
                              <w14:textFill>
                                <w14:solidFill>
                                  <w14:schemeClr w14:val="bg1"/>
                                </w14:solidFill>
                              </w14:textFill>
                            </w:rPr>
                            <w:t>20</w:t>
                          </w:r>
                          <w:r>
                            <w:rPr>
                              <w:rFonts w:hint="eastAsia"/>
                              <w:color w:val="FFFFFF" w:themeColor="background1"/>
                              <w:sz w:val="24"/>
                              <w14:textFill>
                                <w14:solidFill>
                                  <w14:schemeClr w14:val="bg1"/>
                                </w14:solidFill>
                              </w14:textFill>
                            </w:rPr>
                            <w:t>20.0</w:t>
                          </w:r>
                          <w:r>
                            <w:rPr>
                              <w:rFonts w:hint="eastAsia"/>
                              <w:color w:val="FFFFFF" w:themeColor="background1"/>
                              <w:sz w:val="24"/>
                              <w:lang w:val="en-US" w:eastAsia="zh-CN"/>
                              <w14:textFill>
                                <w14:solidFill>
                                  <w14:schemeClr w14:val="bg1"/>
                                </w14:solidFill>
                              </w14:textFill>
                            </w:rPr>
                            <w:t>6.04</w:t>
                          </w:r>
                          <w:r>
                            <w:rPr>
                              <w:rFonts w:hint="eastAsia"/>
                              <w:color w:val="FFFFFF" w:themeColor="background1"/>
                              <w:sz w:val="24"/>
                              <w14:textFill>
                                <w14:solidFill>
                                  <w14:schemeClr w14:val="bg1"/>
                                </w14:solidFill>
                              </w14:textFill>
                            </w:rPr>
                            <w:t xml:space="preserve">  国金视点</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23.75pt;margin-top:-11.35pt;height:24.8pt;width:177.2pt;mso-position-horizontal-relative:margin;mso-wrap-distance-bottom:3.6pt;mso-wrap-distance-left:9pt;mso-wrap-distance-right:9pt;mso-wrap-distance-top:3.6pt;z-index:251659264;mso-width-relative:page;mso-height-relative:page;" filled="f" stroked="f" coordsize="21600,21600" o:gfxdata="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xdiG42AAAAAsBAAAPAAAAAAAAAAEAIAAAACIA&#10;AABkcnMvZG93bnJldi54bWxQSwECFAAUAAAACACHTuJA7uSZlQkCAADdAwAADgAAAAAAAAABACAA&#10;AAAnAQAAZHJzL2Uyb0RvYy54bWxQSwUGAAAAAAYABgBZAQAAogUAAAAA&#10;">
              <v:fill on="f" focussize="0,0"/>
              <v:stroke on="f" miterlimit="8" joinstyle="miter"/>
              <v:imagedata o:title=""/>
              <o:lock v:ext="edit" aspectratio="f"/>
              <v:textbox>
                <w:txbxContent>
                  <w:p>
                    <w:pPr>
                      <w:rPr>
                        <w:color w:val="FFFFFF" w:themeColor="background1"/>
                        <w:sz w:val="24"/>
                        <w14:textFill>
                          <w14:solidFill>
                            <w14:schemeClr w14:val="bg1"/>
                          </w14:solidFill>
                        </w14:textFill>
                      </w:rPr>
                    </w:pPr>
                    <w:r>
                      <w:rPr>
                        <w:color w:val="FFFFFF" w:themeColor="background1"/>
                        <w:sz w:val="24"/>
                        <w14:textFill>
                          <w14:solidFill>
                            <w14:schemeClr w14:val="bg1"/>
                          </w14:solidFill>
                        </w14:textFill>
                      </w:rPr>
                      <w:t>20</w:t>
                    </w:r>
                    <w:r>
                      <w:rPr>
                        <w:rFonts w:hint="eastAsia"/>
                        <w:color w:val="FFFFFF" w:themeColor="background1"/>
                        <w:sz w:val="24"/>
                        <w14:textFill>
                          <w14:solidFill>
                            <w14:schemeClr w14:val="bg1"/>
                          </w14:solidFill>
                        </w14:textFill>
                      </w:rPr>
                      <w:t>20.0</w:t>
                    </w:r>
                    <w:r>
                      <w:rPr>
                        <w:rFonts w:hint="eastAsia"/>
                        <w:color w:val="FFFFFF" w:themeColor="background1"/>
                        <w:sz w:val="24"/>
                        <w:lang w:val="en-US" w:eastAsia="zh-CN"/>
                        <w14:textFill>
                          <w14:solidFill>
                            <w14:schemeClr w14:val="bg1"/>
                          </w14:solidFill>
                        </w14:textFill>
                      </w:rPr>
                      <w:t>6.04</w:t>
                    </w:r>
                    <w:r>
                      <w:rPr>
                        <w:rFonts w:hint="eastAsia"/>
                        <w:color w:val="FFFFFF" w:themeColor="background1"/>
                        <w:sz w:val="24"/>
                        <w14:textFill>
                          <w14:solidFill>
                            <w14:schemeClr w14:val="bg1"/>
                          </w14:solidFill>
                        </w14:textFill>
                      </w:rPr>
                      <w:t xml:space="preserve">  国金视点</w:t>
                    </w:r>
                  </w:p>
                </w:txbxContent>
              </v:textbox>
              <w10:wrap type="square"/>
            </v:shape>
          </w:pict>
        </mc:Fallback>
      </mc:AlternateContent>
    </w:r>
    <w:r>
      <w:drawing>
        <wp:anchor distT="0" distB="0" distL="114300" distR="114300" simplePos="0" relativeHeight="251657216" behindDoc="0" locked="0" layoutInCell="1" allowOverlap="1">
          <wp:simplePos x="0" y="0"/>
          <wp:positionH relativeFrom="margin">
            <wp:posOffset>-212090</wp:posOffset>
          </wp:positionH>
          <wp:positionV relativeFrom="paragraph">
            <wp:posOffset>-290830</wp:posOffset>
          </wp:positionV>
          <wp:extent cx="6622415" cy="434340"/>
          <wp:effectExtent l="0" t="0" r="7620" b="3810"/>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22310" cy="4343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6F"/>
    <w:rsid w:val="00036EA0"/>
    <w:rsid w:val="00086FB7"/>
    <w:rsid w:val="000A0A4A"/>
    <w:rsid w:val="000B1113"/>
    <w:rsid w:val="000B48E6"/>
    <w:rsid w:val="0017306F"/>
    <w:rsid w:val="00184476"/>
    <w:rsid w:val="001C4AE3"/>
    <w:rsid w:val="001F4CC0"/>
    <w:rsid w:val="00220DE5"/>
    <w:rsid w:val="002E4410"/>
    <w:rsid w:val="002F2D75"/>
    <w:rsid w:val="0030738B"/>
    <w:rsid w:val="0035641E"/>
    <w:rsid w:val="003906FB"/>
    <w:rsid w:val="003D6398"/>
    <w:rsid w:val="003E03CD"/>
    <w:rsid w:val="003E457C"/>
    <w:rsid w:val="003F5077"/>
    <w:rsid w:val="00486726"/>
    <w:rsid w:val="004D4282"/>
    <w:rsid w:val="004F7C84"/>
    <w:rsid w:val="00501A60"/>
    <w:rsid w:val="0052535D"/>
    <w:rsid w:val="005712F2"/>
    <w:rsid w:val="00575657"/>
    <w:rsid w:val="005855C0"/>
    <w:rsid w:val="00612717"/>
    <w:rsid w:val="00653B6D"/>
    <w:rsid w:val="00690F0B"/>
    <w:rsid w:val="00702B9D"/>
    <w:rsid w:val="007301EF"/>
    <w:rsid w:val="0073059B"/>
    <w:rsid w:val="007D6729"/>
    <w:rsid w:val="007E0AB5"/>
    <w:rsid w:val="00802C5A"/>
    <w:rsid w:val="00820FD3"/>
    <w:rsid w:val="00876A97"/>
    <w:rsid w:val="008D38C4"/>
    <w:rsid w:val="008E137B"/>
    <w:rsid w:val="00930B4C"/>
    <w:rsid w:val="009460BA"/>
    <w:rsid w:val="009A6FD6"/>
    <w:rsid w:val="009B504F"/>
    <w:rsid w:val="009C111B"/>
    <w:rsid w:val="009E35BA"/>
    <w:rsid w:val="00A126AF"/>
    <w:rsid w:val="00A41EBE"/>
    <w:rsid w:val="00A6286F"/>
    <w:rsid w:val="00A86ACD"/>
    <w:rsid w:val="00AC6ED6"/>
    <w:rsid w:val="00AF5696"/>
    <w:rsid w:val="00B260B4"/>
    <w:rsid w:val="00B631D7"/>
    <w:rsid w:val="00B6462A"/>
    <w:rsid w:val="00BA4550"/>
    <w:rsid w:val="00C4267A"/>
    <w:rsid w:val="00C66A21"/>
    <w:rsid w:val="00C80696"/>
    <w:rsid w:val="00C87281"/>
    <w:rsid w:val="00CD340C"/>
    <w:rsid w:val="00CD4426"/>
    <w:rsid w:val="00CE5852"/>
    <w:rsid w:val="00D712F2"/>
    <w:rsid w:val="00E32A56"/>
    <w:rsid w:val="00EB07CB"/>
    <w:rsid w:val="00EB2C2F"/>
    <w:rsid w:val="00ED31DC"/>
    <w:rsid w:val="00ED694B"/>
    <w:rsid w:val="00FE54E2"/>
    <w:rsid w:val="03250EC0"/>
    <w:rsid w:val="05413A1F"/>
    <w:rsid w:val="076B6348"/>
    <w:rsid w:val="0A9B79BB"/>
    <w:rsid w:val="0BB16ED8"/>
    <w:rsid w:val="0C991768"/>
    <w:rsid w:val="0CDB663F"/>
    <w:rsid w:val="0D66035F"/>
    <w:rsid w:val="0E4C1703"/>
    <w:rsid w:val="105268FF"/>
    <w:rsid w:val="1157571C"/>
    <w:rsid w:val="11BA4254"/>
    <w:rsid w:val="122325C0"/>
    <w:rsid w:val="230A1278"/>
    <w:rsid w:val="267A1C99"/>
    <w:rsid w:val="28D56412"/>
    <w:rsid w:val="29134E54"/>
    <w:rsid w:val="2BBF1B64"/>
    <w:rsid w:val="2C3B2471"/>
    <w:rsid w:val="2C8949B9"/>
    <w:rsid w:val="2E1D58CB"/>
    <w:rsid w:val="2E4A4142"/>
    <w:rsid w:val="2EBA7103"/>
    <w:rsid w:val="2EBB2315"/>
    <w:rsid w:val="30613E51"/>
    <w:rsid w:val="32BF5BB9"/>
    <w:rsid w:val="335553E5"/>
    <w:rsid w:val="378E1F58"/>
    <w:rsid w:val="3CEE3E9D"/>
    <w:rsid w:val="3D432F38"/>
    <w:rsid w:val="3DEC5FE2"/>
    <w:rsid w:val="41597C5A"/>
    <w:rsid w:val="45F64A66"/>
    <w:rsid w:val="4B226A07"/>
    <w:rsid w:val="4C7046ED"/>
    <w:rsid w:val="4DCE2F23"/>
    <w:rsid w:val="4E3F0049"/>
    <w:rsid w:val="556D42AD"/>
    <w:rsid w:val="58101D32"/>
    <w:rsid w:val="5871205F"/>
    <w:rsid w:val="598B275E"/>
    <w:rsid w:val="5DEC5E94"/>
    <w:rsid w:val="5E5070DB"/>
    <w:rsid w:val="62F71E17"/>
    <w:rsid w:val="630C0212"/>
    <w:rsid w:val="6D3C1358"/>
    <w:rsid w:val="72370D97"/>
    <w:rsid w:val="73447DA3"/>
    <w:rsid w:val="74036472"/>
    <w:rsid w:val="795B5CA8"/>
    <w:rsid w:val="797D3E2D"/>
    <w:rsid w:val="7B22162E"/>
    <w:rsid w:val="7BB54040"/>
    <w:rsid w:val="7C7D10AB"/>
    <w:rsid w:val="7D9E4E95"/>
    <w:rsid w:val="7E7F4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styleId="11">
    <w:name w:val="Placeholder Text"/>
    <w:basedOn w:val="8"/>
    <w:semiHidden/>
    <w:qFormat/>
    <w:uiPriority w:val="99"/>
    <w:rPr>
      <w:color w:val="808080"/>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53D728-F814-4B63-BBBD-C2BD71745007}">
  <ds:schemaRefs/>
</ds:datastoreItem>
</file>

<file path=docProps/app.xml><?xml version="1.0" encoding="utf-8"?>
<Properties xmlns="http://schemas.openxmlformats.org/officeDocument/2006/extended-properties" xmlns:vt="http://schemas.openxmlformats.org/officeDocument/2006/docPropsVTypes">
  <Template>Normal.dotm</Template>
  <Pages>2</Pages>
  <Words>43</Words>
  <Characters>248</Characters>
  <Lines>2</Lines>
  <Paragraphs>1</Paragraphs>
  <TotalTime>0</TotalTime>
  <ScaleCrop>false</ScaleCrop>
  <LinksUpToDate>false</LinksUpToDate>
  <CharactersWithSpaces>290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2019-04-11T08:49:00Z</dcterms:created>
  <dc:creator>BAILUSHAONIAN</dc:creator>
  <dc:description>2018.9.21|锌日报分析</dc:description>
  <cp:lastModifiedBy>Administrator</cp:lastModifiedBy>
  <cp:lastPrinted>2019-04-11T07:22:00Z</cp:lastPrinted>
  <dcterms:modified xsi:type="dcterms:W3CDTF">2020-06-04T07:27:11Z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