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tblCellMar>
          <w:left w:w="0" w:type="dxa"/>
          <w:right w:w="0" w:type="dxa"/>
        </w:tblCellMar>
        <w:tblLook w:val="04A0"/>
      </w:tblPr>
      <w:tblGrid>
        <w:gridCol w:w="7642"/>
      </w:tblGrid>
      <w:tr w:rsidR="006622AF" w:rsidRPr="006622AF" w:rsidTr="006622AF">
        <w:trPr>
          <w:tblCellSpacing w:w="0" w:type="dxa"/>
          <w:jc w:val="center"/>
        </w:trPr>
        <w:tc>
          <w:tcPr>
            <w:tcW w:w="5000" w:type="pct"/>
            <w:hideMark/>
          </w:tcPr>
          <w:p w:rsidR="006622AF" w:rsidRPr="006622AF" w:rsidRDefault="006622AF" w:rsidP="006622AF">
            <w:pPr>
              <w:widowControl/>
              <w:jc w:val="center"/>
              <w:rPr>
                <w:rFonts w:ascii="宋体" w:eastAsia="宋体" w:hAnsi="宋体" w:cs="宋体"/>
                <w:b/>
                <w:bCs/>
                <w:color w:val="003366"/>
                <w:kern w:val="0"/>
                <w:sz w:val="27"/>
                <w:szCs w:val="27"/>
              </w:rPr>
            </w:pPr>
            <w:r w:rsidRPr="006622AF">
              <w:rPr>
                <w:rFonts w:ascii="宋体" w:eastAsia="宋体" w:hAnsi="宋体" w:cs="宋体"/>
                <w:b/>
                <w:bCs/>
                <w:color w:val="003366"/>
                <w:kern w:val="0"/>
                <w:sz w:val="27"/>
                <w:szCs w:val="27"/>
              </w:rPr>
              <w:t>豆粕期权持续报价合约提示</w:t>
            </w:r>
          </w:p>
          <w:tbl>
            <w:tblPr>
              <w:tblW w:w="5000" w:type="pct"/>
              <w:tblCellSpacing w:w="15" w:type="dxa"/>
              <w:tblCellMar>
                <w:top w:w="15" w:type="dxa"/>
                <w:left w:w="15" w:type="dxa"/>
                <w:bottom w:w="15" w:type="dxa"/>
                <w:right w:w="15" w:type="dxa"/>
              </w:tblCellMar>
              <w:tblLook w:val="04A0"/>
            </w:tblPr>
            <w:tblGrid>
              <w:gridCol w:w="7642"/>
            </w:tblGrid>
            <w:tr w:rsidR="006622AF" w:rsidRPr="006622AF" w:rsidTr="006622AF">
              <w:trPr>
                <w:tblCellSpacing w:w="15" w:type="dxa"/>
              </w:trPr>
              <w:tc>
                <w:tcPr>
                  <w:tcW w:w="0" w:type="auto"/>
                  <w:vAlign w:val="center"/>
                  <w:hideMark/>
                </w:tcPr>
                <w:p w:rsidR="006622AF" w:rsidRPr="006622AF" w:rsidRDefault="006622AF" w:rsidP="006622AF">
                  <w:pPr>
                    <w:widowControl/>
                    <w:jc w:val="left"/>
                    <w:rPr>
                      <w:rFonts w:ascii="宋体" w:eastAsia="宋体" w:hAnsi="宋体" w:cs="宋体"/>
                      <w:kern w:val="0"/>
                      <w:sz w:val="24"/>
                      <w:szCs w:val="24"/>
                    </w:rPr>
                  </w:pPr>
                </w:p>
              </w:tc>
            </w:tr>
            <w:tr w:rsidR="006622AF" w:rsidRPr="006622AF" w:rsidTr="006622AF">
              <w:trPr>
                <w:trHeight w:val="15"/>
                <w:tblCellSpacing w:w="15" w:type="dxa"/>
              </w:trPr>
              <w:tc>
                <w:tcPr>
                  <w:tcW w:w="0" w:type="auto"/>
                  <w:vAlign w:val="center"/>
                  <w:hideMark/>
                </w:tcPr>
                <w:p w:rsidR="006622AF" w:rsidRPr="006622AF" w:rsidRDefault="006622AF" w:rsidP="006622AF">
                  <w:pPr>
                    <w:widowControl/>
                    <w:jc w:val="left"/>
                    <w:rPr>
                      <w:rFonts w:ascii="宋体" w:eastAsia="宋体" w:hAnsi="宋体" w:cs="宋体"/>
                      <w:kern w:val="0"/>
                      <w:sz w:val="2"/>
                      <w:szCs w:val="24"/>
                    </w:rPr>
                  </w:pPr>
                </w:p>
              </w:tc>
            </w:tr>
          </w:tbl>
          <w:p w:rsidR="006622AF" w:rsidRPr="006622AF" w:rsidRDefault="006622AF" w:rsidP="006622AF">
            <w:pPr>
              <w:widowControl/>
              <w:jc w:val="left"/>
              <w:rPr>
                <w:rFonts w:ascii="宋体" w:eastAsia="宋体" w:hAnsi="宋体" w:cs="宋体"/>
                <w:kern w:val="0"/>
                <w:sz w:val="24"/>
                <w:szCs w:val="24"/>
              </w:rPr>
            </w:pPr>
          </w:p>
        </w:tc>
      </w:tr>
      <w:tr w:rsidR="006622AF" w:rsidRPr="006622AF" w:rsidTr="006622AF">
        <w:trPr>
          <w:tblCellSpacing w:w="0" w:type="dxa"/>
          <w:jc w:val="center"/>
        </w:trPr>
        <w:tc>
          <w:tcPr>
            <w:tcW w:w="0" w:type="auto"/>
          </w:tcPr>
          <w:p w:rsidR="006622AF" w:rsidRPr="006622AF" w:rsidRDefault="006622AF" w:rsidP="006622AF">
            <w:pPr>
              <w:widowControl/>
              <w:spacing w:line="375" w:lineRule="atLeast"/>
              <w:jc w:val="left"/>
              <w:rPr>
                <w:rFonts w:ascii="仿宋_GB2312" w:eastAsia="仿宋_GB2312" w:hAnsi="宋体" w:cs="宋体"/>
                <w:kern w:val="0"/>
                <w:sz w:val="32"/>
                <w:szCs w:val="32"/>
              </w:rPr>
            </w:pPr>
            <w:r w:rsidRPr="006622AF">
              <w:rPr>
                <w:rFonts w:ascii="仿宋_GB2312" w:eastAsia="仿宋_GB2312" w:hAnsi="宋体" w:cs="宋体" w:hint="eastAsia"/>
                <w:kern w:val="0"/>
                <w:sz w:val="32"/>
                <w:szCs w:val="32"/>
              </w:rPr>
              <w:t>各会员单位：</w:t>
            </w:r>
          </w:p>
          <w:p w:rsidR="006622AF" w:rsidRPr="006622AF" w:rsidRDefault="006622AF" w:rsidP="006622AF">
            <w:pPr>
              <w:widowControl/>
              <w:spacing w:line="375" w:lineRule="atLeast"/>
              <w:ind w:firstLineChars="200" w:firstLine="640"/>
              <w:jc w:val="left"/>
              <w:rPr>
                <w:rFonts w:ascii="仿宋_GB2312" w:eastAsia="仿宋_GB2312" w:hAnsi="宋体" w:cs="宋体" w:hint="eastAsia"/>
                <w:kern w:val="0"/>
                <w:sz w:val="32"/>
                <w:szCs w:val="32"/>
              </w:rPr>
            </w:pPr>
            <w:r w:rsidRPr="006622AF">
              <w:rPr>
                <w:rFonts w:ascii="仿宋_GB2312" w:eastAsia="仿宋_GB2312" w:hAnsi="宋体" w:cs="宋体" w:hint="eastAsia"/>
                <w:kern w:val="0"/>
                <w:sz w:val="32"/>
                <w:szCs w:val="32"/>
              </w:rPr>
              <w:t>根据我所做市商报价义务要求，做市商需对主力合约系列的期权合约进行持续报价，</w:t>
            </w:r>
            <w:r w:rsidRPr="006622AF">
              <w:rPr>
                <w:rFonts w:ascii="仿宋_GB2312" w:eastAsia="仿宋_GB2312" w:hAnsi="仿宋" w:cs="仿宋" w:hint="eastAsia"/>
                <w:kern w:val="0"/>
                <w:sz w:val="32"/>
                <w:szCs w:val="32"/>
              </w:rPr>
              <w:t>主力合约系列是指其标的期货合约在近五个交易日内的总成交量在该品种所有期货合约成交量中排名前三名（若第三名并列，取近月期货合约）的所有期权合约，以交易所发布为准。根据上述规定，在上市交易的豆粕期权合约中，做市商目前持续报价合约为m1707、m1709、m1801三个系列的所有期权合约。</w:t>
            </w:r>
          </w:p>
          <w:p w:rsidR="006622AF" w:rsidRPr="006622AF" w:rsidRDefault="006622AF" w:rsidP="006622AF">
            <w:pPr>
              <w:widowControl/>
              <w:spacing w:line="375" w:lineRule="atLeast"/>
              <w:ind w:firstLineChars="200" w:firstLine="640"/>
              <w:jc w:val="left"/>
              <w:rPr>
                <w:rFonts w:ascii="仿宋_GB2312" w:eastAsia="仿宋_GB2312" w:hAnsi="仿宋" w:cs="仿宋" w:hint="eastAsia"/>
                <w:kern w:val="0"/>
                <w:sz w:val="32"/>
                <w:szCs w:val="32"/>
              </w:rPr>
            </w:pPr>
            <w:r w:rsidRPr="006622AF">
              <w:rPr>
                <w:rFonts w:ascii="仿宋_GB2312" w:eastAsia="仿宋_GB2312" w:hAnsi="宋体" w:cs="宋体" w:hint="eastAsia"/>
                <w:kern w:val="0"/>
                <w:sz w:val="32"/>
                <w:szCs w:val="32"/>
              </w:rPr>
              <w:t>交易日5月16日，m1805期货合约将上市交易，参考历史情况，m1805期货合约上市后，成交量将可能超过m1707期货合约。因此，m1805系列将可能取代m1707系列成为期权主力合约系列，做市商持续报价合约将可能从m</w:t>
            </w:r>
            <w:r w:rsidRPr="006622AF">
              <w:rPr>
                <w:rFonts w:ascii="仿宋_GB2312" w:eastAsia="仿宋_GB2312" w:hAnsi="仿宋" w:cs="仿宋" w:hint="eastAsia"/>
                <w:kern w:val="0"/>
                <w:sz w:val="32"/>
                <w:szCs w:val="32"/>
              </w:rPr>
              <w:t>1707、m1709、m1801转换为m1709、m1801、m1805三个系列。届时做市商对m1707系列期权合约可能不再承担持续报价义务，投资者可以在m1707系列各期权合约上向做市商询价。由于本次为豆粕期权上市后第一次发生做市商持续报价合约转换，请会员单位提示投资者了解相关情况。</w:t>
            </w:r>
          </w:p>
          <w:p w:rsidR="006622AF" w:rsidRPr="006622AF" w:rsidRDefault="006622AF" w:rsidP="006622AF">
            <w:pPr>
              <w:widowControl/>
              <w:spacing w:line="375" w:lineRule="atLeast"/>
              <w:ind w:firstLineChars="200" w:firstLine="640"/>
              <w:jc w:val="left"/>
              <w:rPr>
                <w:rFonts w:ascii="仿宋_GB2312" w:eastAsia="仿宋_GB2312" w:hAnsi="仿宋" w:cs="仿宋" w:hint="eastAsia"/>
                <w:kern w:val="0"/>
                <w:sz w:val="32"/>
                <w:szCs w:val="32"/>
              </w:rPr>
            </w:pPr>
            <w:r w:rsidRPr="006622AF">
              <w:rPr>
                <w:rFonts w:ascii="仿宋_GB2312" w:eastAsia="仿宋_GB2312" w:hAnsi="仿宋" w:cs="仿宋" w:hint="eastAsia"/>
                <w:kern w:val="0"/>
                <w:sz w:val="32"/>
                <w:szCs w:val="32"/>
              </w:rPr>
              <w:t>特此提示。</w:t>
            </w:r>
          </w:p>
          <w:p w:rsidR="006622AF" w:rsidRPr="006622AF" w:rsidRDefault="006622AF" w:rsidP="006622AF">
            <w:pPr>
              <w:widowControl/>
              <w:spacing w:line="375" w:lineRule="atLeast"/>
              <w:ind w:firstLineChars="200" w:firstLine="640"/>
              <w:jc w:val="left"/>
              <w:rPr>
                <w:rFonts w:ascii="仿宋_GB2312" w:eastAsia="仿宋_GB2312" w:hAnsi="仿宋" w:cs="仿宋" w:hint="eastAsia"/>
                <w:kern w:val="0"/>
                <w:sz w:val="32"/>
                <w:szCs w:val="32"/>
              </w:rPr>
            </w:pPr>
          </w:p>
          <w:p w:rsidR="006622AF" w:rsidRPr="006622AF" w:rsidRDefault="006622AF" w:rsidP="006622AF">
            <w:pPr>
              <w:widowControl/>
              <w:spacing w:line="375" w:lineRule="atLeast"/>
              <w:ind w:firstLineChars="200" w:firstLine="640"/>
              <w:jc w:val="left"/>
              <w:rPr>
                <w:rFonts w:ascii="仿宋_GB2312" w:eastAsia="仿宋_GB2312" w:hAnsi="仿宋" w:cs="仿宋" w:hint="eastAsia"/>
                <w:kern w:val="0"/>
                <w:sz w:val="32"/>
                <w:szCs w:val="32"/>
              </w:rPr>
            </w:pPr>
            <w:r w:rsidRPr="006622AF">
              <w:rPr>
                <w:rFonts w:ascii="仿宋_GB2312" w:eastAsia="仿宋_GB2312" w:hAnsi="仿宋" w:cs="仿宋" w:hint="eastAsia"/>
                <w:kern w:val="0"/>
                <w:sz w:val="32"/>
                <w:szCs w:val="32"/>
              </w:rPr>
              <w:lastRenderedPageBreak/>
              <w:t xml:space="preserve">                                                                     大连商品交易所</w:t>
            </w:r>
          </w:p>
          <w:p w:rsidR="006622AF" w:rsidRPr="006622AF" w:rsidRDefault="006622AF" w:rsidP="006622AF">
            <w:pPr>
              <w:widowControl/>
              <w:spacing w:line="375" w:lineRule="atLeast"/>
              <w:jc w:val="left"/>
              <w:rPr>
                <w:rFonts w:ascii="宋体" w:eastAsia="宋体" w:hAnsi="宋体" w:cs="宋体"/>
                <w:kern w:val="0"/>
                <w:sz w:val="24"/>
                <w:szCs w:val="24"/>
              </w:rPr>
            </w:pPr>
            <w:r w:rsidRPr="006622AF">
              <w:rPr>
                <w:rFonts w:ascii="仿宋_GB2312" w:eastAsia="仿宋_GB2312" w:hAnsi="仿宋" w:cs="仿宋" w:hint="eastAsia"/>
                <w:kern w:val="0"/>
                <w:sz w:val="32"/>
                <w:szCs w:val="32"/>
              </w:rPr>
              <w:t xml:space="preserve">                                                                         2017年5月11日</w:t>
            </w:r>
          </w:p>
        </w:tc>
      </w:tr>
    </w:tbl>
    <w:p w:rsidR="00C62822" w:rsidRDefault="00C62822">
      <w:pPr>
        <w:rPr>
          <w:rFonts w:hint="eastAsia"/>
        </w:rPr>
      </w:pPr>
    </w:p>
    <w:sectPr w:rsidR="00C62822" w:rsidSect="00C628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22AF"/>
    <w:rsid w:val="006622AF"/>
    <w:rsid w:val="00C62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9070455">
      <w:bodyDiv w:val="1"/>
      <w:marLeft w:val="0"/>
      <w:marRight w:val="0"/>
      <w:marTop w:val="0"/>
      <w:marBottom w:val="0"/>
      <w:divBdr>
        <w:top w:val="none" w:sz="0" w:space="0" w:color="auto"/>
        <w:left w:val="none" w:sz="0" w:space="0" w:color="auto"/>
        <w:bottom w:val="none" w:sz="0" w:space="0" w:color="auto"/>
        <w:right w:val="none" w:sz="0" w:space="0" w:color="auto"/>
      </w:divBdr>
      <w:divsChild>
        <w:div w:id="1357150095">
          <w:marLeft w:val="0"/>
          <w:marRight w:val="0"/>
          <w:marTop w:val="150"/>
          <w:marBottom w:val="150"/>
          <w:divBdr>
            <w:top w:val="none" w:sz="0" w:space="0" w:color="auto"/>
            <w:left w:val="none" w:sz="0" w:space="0" w:color="auto"/>
            <w:bottom w:val="none" w:sz="0" w:space="0" w:color="auto"/>
            <w:right w:val="none" w:sz="0" w:space="0" w:color="auto"/>
          </w:divBdr>
          <w:divsChild>
            <w:div w:id="1485387288">
              <w:marLeft w:val="0"/>
              <w:marRight w:val="0"/>
              <w:marTop w:val="300"/>
              <w:marBottom w:val="0"/>
              <w:divBdr>
                <w:top w:val="single" w:sz="6" w:space="15" w:color="EBEBEB"/>
                <w:left w:val="single" w:sz="6" w:space="15" w:color="EBEBEB"/>
                <w:bottom w:val="single" w:sz="6" w:space="15" w:color="EBEBEB"/>
                <w:right w:val="single" w:sz="6" w:space="15" w:color="EBEBEB"/>
              </w:divBdr>
              <w:divsChild>
                <w:div w:id="1041050925">
                  <w:marLeft w:val="0"/>
                  <w:marRight w:val="0"/>
                  <w:marTop w:val="0"/>
                  <w:marBottom w:val="0"/>
                  <w:divBdr>
                    <w:top w:val="none" w:sz="0" w:space="0" w:color="auto"/>
                    <w:left w:val="none" w:sz="0" w:space="0" w:color="auto"/>
                    <w:bottom w:val="none" w:sz="0" w:space="0" w:color="auto"/>
                    <w:right w:val="none" w:sz="0" w:space="0" w:color="auto"/>
                  </w:divBdr>
                </w:div>
                <w:div w:id="1811097735">
                  <w:marLeft w:val="0"/>
                  <w:marRight w:val="0"/>
                  <w:marTop w:val="300"/>
                  <w:marBottom w:val="300"/>
                  <w:divBdr>
                    <w:top w:val="none" w:sz="0" w:space="0" w:color="auto"/>
                    <w:left w:val="none" w:sz="0" w:space="0" w:color="auto"/>
                    <w:bottom w:val="none" w:sz="0" w:space="0" w:color="auto"/>
                    <w:right w:val="none" w:sz="0" w:space="0" w:color="auto"/>
                  </w:divBdr>
                  <w:divsChild>
                    <w:div w:id="961351677">
                      <w:marLeft w:val="0"/>
                      <w:marRight w:val="0"/>
                      <w:marTop w:val="0"/>
                      <w:marBottom w:val="0"/>
                      <w:divBdr>
                        <w:top w:val="none" w:sz="0" w:space="0" w:color="auto"/>
                        <w:left w:val="none" w:sz="0" w:space="0" w:color="auto"/>
                        <w:bottom w:val="none" w:sz="0" w:space="0" w:color="auto"/>
                        <w:right w:val="none" w:sz="0" w:space="0" w:color="auto"/>
                      </w:divBdr>
                      <w:divsChild>
                        <w:div w:id="4636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536</Characters>
  <Application>Microsoft Office Word</Application>
  <DocSecurity>0</DocSecurity>
  <Lines>4</Lines>
  <Paragraphs>1</Paragraphs>
  <ScaleCrop>false</ScaleCrop>
  <Company>Lenovo (Beijing) Limited</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2017-05-12T01:07:00Z</dcterms:created>
  <dcterms:modified xsi:type="dcterms:W3CDTF">2017-05-12T01:08:00Z</dcterms:modified>
</cp:coreProperties>
</file>