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66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3485"/>
        <w:gridCol w:w="1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6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4"/>
              </w:rPr>
              <w:t>表</w:t>
            </w:r>
            <w:r>
              <w:rPr>
                <w:rFonts w:ascii="Times New Roman" w:hAnsi="Times New Roman" w:eastAsia="方正仿宋简体"/>
                <w:b/>
                <w:sz w:val="28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b/>
                <w:sz w:val="28"/>
                <w:szCs w:val="24"/>
              </w:rPr>
              <w:t>2017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4"/>
              </w:rPr>
              <w:t>年度白金奖、金奖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奖项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会员简称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会员类型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白金奖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（15名）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新湖期货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广发期货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兴证期货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华泰期货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海通期货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银河期货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中信期货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上海东证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国金期货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光大期货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南华期货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方正中期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国投安信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奖项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会员简称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</w:rPr>
              <w:t>会员类型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金奖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（25名）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国信期货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国海良时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天风期货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五矿经易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宝城期货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招商期货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东航期货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宏源期货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浙商期货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中银国际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国联期货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乾坤期货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申银万国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东海期货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长江期货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鲁证期货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格林大华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西部期货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信达期货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中融汇信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上海大陆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中金期货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华安期货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华西期货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/>
          <w:b/>
          <w:sz w:val="28"/>
          <w:szCs w:val="24"/>
        </w:rPr>
      </w:pPr>
      <w:r>
        <w:rPr>
          <w:rFonts w:ascii="Times New Roman" w:hAnsi="Times New Roman" w:eastAsia="方正仿宋简体"/>
          <w:b/>
          <w:sz w:val="28"/>
          <w:szCs w:val="24"/>
        </w:rPr>
        <w:t>表</w:t>
      </w:r>
      <w:r>
        <w:rPr>
          <w:rFonts w:hint="eastAsia" w:ascii="Times New Roman" w:hAnsi="Times New Roman" w:eastAsia="方正仿宋简体"/>
          <w:b/>
          <w:sz w:val="28"/>
          <w:szCs w:val="24"/>
        </w:rPr>
        <w:t>2</w:t>
      </w:r>
      <w:r>
        <w:rPr>
          <w:rFonts w:ascii="Times New Roman" w:hAnsi="Times New Roman" w:eastAsia="方正仿宋简体"/>
          <w:b/>
          <w:sz w:val="28"/>
          <w:szCs w:val="24"/>
        </w:rPr>
        <w:t>、2017年度</w:t>
      </w:r>
      <w:r>
        <w:rPr>
          <w:rFonts w:hint="eastAsia" w:ascii="Times New Roman" w:hAnsi="Times New Roman" w:eastAsia="方正仿宋简体"/>
          <w:b/>
          <w:sz w:val="28"/>
          <w:szCs w:val="24"/>
        </w:rPr>
        <w:t>技术管理</w:t>
      </w:r>
      <w:r>
        <w:rPr>
          <w:rFonts w:ascii="Times New Roman" w:hAnsi="Times New Roman" w:eastAsia="方正仿宋简体"/>
          <w:b/>
          <w:sz w:val="28"/>
          <w:szCs w:val="24"/>
        </w:rPr>
        <w:t>奖</w:t>
      </w:r>
    </w:p>
    <w:tbl>
      <w:tblPr>
        <w:tblStyle w:val="4"/>
        <w:tblW w:w="82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40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奖项</w:t>
            </w:r>
          </w:p>
        </w:tc>
        <w:tc>
          <w:tcPr>
            <w:tcW w:w="3402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会员简称</w:t>
            </w:r>
          </w:p>
        </w:tc>
        <w:tc>
          <w:tcPr>
            <w:tcW w:w="2127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736" w:type="dxa"/>
            <w:vMerge w:val="restart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技术管理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（10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名）</w:t>
            </w:r>
          </w:p>
        </w:tc>
        <w:tc>
          <w:tcPr>
            <w:tcW w:w="3402" w:type="dxa"/>
            <w:tcBorders>
              <w:top w:val="single" w:color="5B9BD5" w:themeColor="accent1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海通期货</w:t>
            </w:r>
          </w:p>
        </w:tc>
        <w:tc>
          <w:tcPr>
            <w:tcW w:w="2127" w:type="dxa"/>
            <w:tcBorders>
              <w:top w:val="single" w:color="5B9BD5" w:themeColor="accent1" w:sz="8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永安期货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上海东证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光大期货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南华期货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华泰期货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中信期货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广发期货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兴证期货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国投安信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/>
          <w:b/>
          <w:sz w:val="28"/>
          <w:szCs w:val="24"/>
        </w:rPr>
      </w:pPr>
      <w:r>
        <w:rPr>
          <w:rFonts w:ascii="Times New Roman" w:hAnsi="Times New Roman" w:eastAsia="方正仿宋简体"/>
          <w:b/>
          <w:sz w:val="28"/>
          <w:szCs w:val="24"/>
        </w:rPr>
        <w:t>表</w:t>
      </w:r>
      <w:r>
        <w:rPr>
          <w:rFonts w:hint="eastAsia" w:ascii="Times New Roman" w:hAnsi="Times New Roman" w:eastAsia="方正仿宋简体"/>
          <w:b/>
          <w:sz w:val="28"/>
          <w:szCs w:val="24"/>
        </w:rPr>
        <w:t>3</w:t>
      </w:r>
      <w:r>
        <w:rPr>
          <w:rFonts w:ascii="Times New Roman" w:hAnsi="Times New Roman" w:eastAsia="方正仿宋简体"/>
          <w:b/>
          <w:sz w:val="28"/>
          <w:szCs w:val="24"/>
        </w:rPr>
        <w:t>、2017年度产品</w:t>
      </w:r>
      <w:r>
        <w:rPr>
          <w:rFonts w:hint="eastAsia" w:ascii="Times New Roman" w:hAnsi="Times New Roman" w:eastAsia="方正仿宋简体"/>
          <w:b/>
          <w:sz w:val="28"/>
          <w:szCs w:val="24"/>
        </w:rPr>
        <w:t>拓展</w:t>
      </w:r>
      <w:r>
        <w:rPr>
          <w:rFonts w:ascii="Times New Roman" w:hAnsi="Times New Roman" w:eastAsia="方正仿宋简体"/>
          <w:b/>
          <w:sz w:val="28"/>
          <w:szCs w:val="24"/>
        </w:rPr>
        <w:t>奖</w:t>
      </w:r>
    </w:p>
    <w:tbl>
      <w:tblPr>
        <w:tblStyle w:val="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"/>
        <w:gridCol w:w="3519"/>
        <w:gridCol w:w="25"/>
        <w:gridCol w:w="1960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奖项</w:t>
            </w:r>
          </w:p>
        </w:tc>
        <w:tc>
          <w:tcPr>
            <w:tcW w:w="3544" w:type="dxa"/>
            <w:gridSpan w:val="2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会员简称</w:t>
            </w:r>
          </w:p>
        </w:tc>
        <w:tc>
          <w:tcPr>
            <w:tcW w:w="1985" w:type="dxa"/>
            <w:gridSpan w:val="2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70" w:hRule="atLeast"/>
          <w:jc w:val="center"/>
        </w:trPr>
        <w:tc>
          <w:tcPr>
            <w:tcW w:w="2918" w:type="dxa"/>
            <w:vMerge w:val="restart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产品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拓展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（股指期货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类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0名）</w:t>
            </w:r>
          </w:p>
        </w:tc>
        <w:tc>
          <w:tcPr>
            <w:tcW w:w="3544" w:type="dxa"/>
            <w:gridSpan w:val="2"/>
            <w:tcBorders>
              <w:top w:val="single" w:color="5B9BD5" w:themeColor="accent1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中信期货</w:t>
            </w:r>
          </w:p>
        </w:tc>
        <w:tc>
          <w:tcPr>
            <w:tcW w:w="1985" w:type="dxa"/>
            <w:gridSpan w:val="2"/>
            <w:tcBorders>
              <w:top w:val="single" w:color="5B9BD5" w:themeColor="accent1" w:sz="8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51" w:hRule="atLeast"/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银河期货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海通期货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华泰期货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兴证期货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上海东证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光大期货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80" w:hRule="atLeast"/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招商期货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shd w:val="clear" w:color="auto" w:fill="5B9BD5" w:themeFill="accent1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奖项</w:t>
            </w:r>
          </w:p>
        </w:tc>
        <w:tc>
          <w:tcPr>
            <w:tcW w:w="3544" w:type="dxa"/>
            <w:gridSpan w:val="2"/>
            <w:tcBorders>
              <w:top w:val="single" w:color="5B9BD5" w:themeColor="accent1" w:sz="8" w:space="0"/>
              <w:bottom w:val="single" w:color="auto" w:sz="4" w:space="0"/>
            </w:tcBorders>
            <w:shd w:val="clear" w:color="auto" w:fill="5B9BD5" w:themeFill="accent1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会员简称</w:t>
            </w:r>
          </w:p>
        </w:tc>
        <w:tc>
          <w:tcPr>
            <w:tcW w:w="1985" w:type="dxa"/>
            <w:gridSpan w:val="2"/>
            <w:tcBorders>
              <w:top w:val="single" w:color="5B9BD5" w:themeColor="accent1" w:sz="8" w:space="0"/>
              <w:bottom w:val="single" w:color="auto" w:sz="4" w:space="0"/>
              <w:right w:val="single" w:color="5B9BD5" w:themeColor="accent1" w:sz="8" w:space="0"/>
            </w:tcBorders>
            <w:shd w:val="clear" w:color="auto" w:fill="5B9BD5" w:themeFill="accent1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会员类型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产品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拓展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（国债期货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类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0名）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中信期货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943" w:type="dxa"/>
            <w:gridSpan w:val="2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海通期货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华泰期货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广发期货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上海东证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银河期货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兴证期货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3" w:type="dxa"/>
            <w:gridSpan w:val="2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光大期货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</w:tbl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简体"/>
          <w:b/>
          <w:sz w:val="28"/>
          <w:szCs w:val="24"/>
        </w:rPr>
      </w:pPr>
      <w:r>
        <w:rPr>
          <w:rFonts w:ascii="Times New Roman" w:hAnsi="Times New Roman" w:eastAsia="方正仿宋简体"/>
          <w:b/>
          <w:sz w:val="28"/>
          <w:szCs w:val="24"/>
        </w:rPr>
        <w:t>表</w:t>
      </w:r>
      <w:r>
        <w:rPr>
          <w:rFonts w:hint="eastAsia" w:ascii="Times New Roman" w:hAnsi="Times New Roman" w:eastAsia="方正仿宋简体"/>
          <w:b/>
          <w:sz w:val="28"/>
          <w:szCs w:val="24"/>
        </w:rPr>
        <w:t>4</w:t>
      </w:r>
      <w:r>
        <w:rPr>
          <w:rFonts w:ascii="Times New Roman" w:hAnsi="Times New Roman" w:eastAsia="方正仿宋简体"/>
          <w:b/>
          <w:sz w:val="28"/>
          <w:szCs w:val="24"/>
        </w:rPr>
        <w:t>、2017年度产品</w:t>
      </w:r>
      <w:r>
        <w:rPr>
          <w:rFonts w:hint="eastAsia" w:ascii="Times New Roman" w:hAnsi="Times New Roman" w:eastAsia="方正仿宋简体"/>
          <w:b/>
          <w:sz w:val="28"/>
          <w:szCs w:val="24"/>
        </w:rPr>
        <w:t>创新</w:t>
      </w:r>
      <w:r>
        <w:rPr>
          <w:rFonts w:ascii="Times New Roman" w:hAnsi="Times New Roman" w:eastAsia="方正仿宋简体"/>
          <w:b/>
          <w:sz w:val="28"/>
          <w:szCs w:val="24"/>
        </w:rPr>
        <w:t>奖</w:t>
      </w:r>
    </w:p>
    <w:tbl>
      <w:tblPr>
        <w:tblStyle w:val="4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347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奖项</w:t>
            </w:r>
          </w:p>
        </w:tc>
        <w:tc>
          <w:tcPr>
            <w:tcW w:w="3472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会员简称</w:t>
            </w:r>
          </w:p>
        </w:tc>
        <w:tc>
          <w:tcPr>
            <w:tcW w:w="1985" w:type="dxa"/>
            <w:shd w:val="clear" w:color="auto" w:fill="5B9BD5" w:themeFill="accent1"/>
            <w:vAlign w:val="center"/>
          </w:tcPr>
          <w:p>
            <w:pPr>
              <w:widowControl/>
              <w:adjustRightInd w:val="0"/>
              <w:snapToGrid w:val="0"/>
              <w:spacing w:before="0" w:after="0" w:line="240" w:lineRule="atLeast"/>
              <w:jc w:val="center"/>
              <w:rPr>
                <w:rFonts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会员类型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821" w:type="dxa"/>
            <w:vMerge w:val="restart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产品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创新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（10名）</w:t>
            </w:r>
          </w:p>
        </w:tc>
        <w:tc>
          <w:tcPr>
            <w:tcW w:w="3472" w:type="dxa"/>
            <w:tcBorders>
              <w:top w:val="single" w:color="5B9BD5" w:themeColor="accent1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申银万国</w:t>
            </w:r>
          </w:p>
        </w:tc>
        <w:tc>
          <w:tcPr>
            <w:tcW w:w="1985" w:type="dxa"/>
            <w:tcBorders>
              <w:top w:val="single" w:color="5B9BD5" w:themeColor="accent1" w:sz="8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82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长江期货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建信期货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永安期货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南华期货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海通期货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821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上海东证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光大期货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tcBorders>
              <w:top w:val="single" w:color="5B9BD5" w:themeColor="accent1" w:sz="8" w:space="0"/>
              <w:left w:val="single" w:color="auto" w:sz="4" w:space="0"/>
              <w:bottom w:val="single" w:color="5B9BD5" w:themeColor="accent1" w:sz="8" w:space="0"/>
              <w:right w:val="single" w:color="auto" w:sz="4" w:space="0"/>
              <w:insideH w:val="single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银河期货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全面结算会员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D1E0F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华西期货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交易结算会员</w:t>
            </w:r>
          </w:p>
        </w:tc>
      </w:tr>
    </w:tbl>
    <w:p>
      <w:pPr>
        <w:adjustRightInd w:val="0"/>
        <w:snapToGrid w:val="0"/>
        <w:spacing w:line="540" w:lineRule="exact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F"/>
    <w:rsid w:val="004E33E7"/>
    <w:rsid w:val="0091743F"/>
    <w:rsid w:val="00AC7C4F"/>
    <w:rsid w:val="283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浅色列表 - 强调文字颜色 11"/>
    <w:basedOn w:val="3"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1145</Characters>
  <Lines>9</Lines>
  <Paragraphs>2</Paragraphs>
  <ScaleCrop>false</ScaleCrop>
  <LinksUpToDate>false</LinksUpToDate>
  <CharactersWithSpaces>1343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2018-02-12T06:05:00Z</dcterms:created>
  <dc:creator>方尉齐(技术运行)</dc:creator>
  <cp:lastModifiedBy>Administrator</cp:lastModifiedBy>
  <dcterms:modified xsi:type="dcterms:W3CDTF">2018-03-02T01:49:19Z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