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68" w:rsidRPr="00AE50B3" w:rsidRDefault="00EE1C68" w:rsidP="00EE1C68">
      <w:pPr>
        <w:jc w:val="left"/>
        <w:rPr>
          <w:rFonts w:ascii="仿宋_GB2312" w:eastAsia="仿宋_GB2312"/>
          <w:sz w:val="32"/>
          <w:szCs w:val="32"/>
        </w:rPr>
      </w:pPr>
      <w:r w:rsidRPr="00AE50B3">
        <w:rPr>
          <w:rFonts w:ascii="仿宋_GB2312" w:eastAsia="仿宋_GB2312" w:hint="eastAsia"/>
          <w:sz w:val="32"/>
          <w:szCs w:val="32"/>
        </w:rPr>
        <w:t>附件：</w:t>
      </w:r>
    </w:p>
    <w:p w:rsidR="00EE1C68" w:rsidRPr="00AE50B3" w:rsidRDefault="00EE1C68" w:rsidP="00EE1C68">
      <w:pPr>
        <w:jc w:val="left"/>
        <w:rPr>
          <w:rFonts w:ascii="宋体" w:hAnsi="宋体"/>
          <w:b/>
          <w:sz w:val="44"/>
          <w:szCs w:val="44"/>
        </w:rPr>
      </w:pPr>
    </w:p>
    <w:p w:rsidR="00EE1C68" w:rsidRPr="00AE50B3" w:rsidRDefault="00EE1C68" w:rsidP="00EE1C68">
      <w:pPr>
        <w:jc w:val="left"/>
        <w:rPr>
          <w:rFonts w:ascii="宋体" w:hAnsi="宋体"/>
          <w:b/>
          <w:sz w:val="44"/>
          <w:szCs w:val="44"/>
        </w:rPr>
      </w:pPr>
      <w:bookmarkStart w:id="0" w:name="_GoBack"/>
      <w:r w:rsidRPr="00AE50B3">
        <w:rPr>
          <w:rFonts w:ascii="宋体" w:hAnsi="宋体" w:hint="eastAsia"/>
          <w:b/>
          <w:sz w:val="44"/>
          <w:szCs w:val="44"/>
        </w:rPr>
        <w:t>《大连商品交易所风险管理办法》</w:t>
      </w:r>
      <w:bookmarkEnd w:id="0"/>
      <w:r w:rsidRPr="00AE50B3">
        <w:rPr>
          <w:rFonts w:ascii="宋体" w:hAnsi="宋体" w:hint="eastAsia"/>
          <w:b/>
          <w:sz w:val="44"/>
          <w:szCs w:val="44"/>
        </w:rPr>
        <w:t>修正案</w:t>
      </w:r>
    </w:p>
    <w:p w:rsidR="00EE1C68" w:rsidRPr="00AE50B3" w:rsidRDefault="00EE1C68" w:rsidP="00EE1C68">
      <w:pPr>
        <w:jc w:val="left"/>
        <w:rPr>
          <w:rFonts w:ascii="宋体" w:hAnsi="宋体"/>
          <w:b/>
          <w:sz w:val="44"/>
          <w:szCs w:val="44"/>
        </w:rPr>
      </w:pPr>
    </w:p>
    <w:p w:rsidR="00EE1C68" w:rsidRPr="00AE50B3" w:rsidRDefault="00EE1C68" w:rsidP="00EE1C68">
      <w:pPr>
        <w:widowControl/>
        <w:spacing w:line="560" w:lineRule="exact"/>
        <w:jc w:val="left"/>
        <w:rPr>
          <w:rFonts w:ascii="Times New Roman" w:eastAsia="仿宋_GB2312" w:hAnsi="Times New Roman"/>
          <w:dstrike/>
          <w:color w:val="000000"/>
          <w:kern w:val="0"/>
          <w:sz w:val="28"/>
          <w:szCs w:val="28"/>
        </w:rPr>
      </w:pPr>
      <w:r w:rsidRPr="00AE50B3">
        <w:rPr>
          <w:rFonts w:ascii="Times New Roman" w:eastAsia="仿宋_GB2312" w:hAnsi="Times New Roman" w:hint="eastAsia"/>
          <w:color w:val="000000"/>
          <w:kern w:val="0"/>
          <w:sz w:val="32"/>
          <w:szCs w:val="32"/>
        </w:rPr>
        <w:t xml:space="preserve">　</w:t>
      </w:r>
      <w:r w:rsidRPr="00AE50B3">
        <w:rPr>
          <w:rFonts w:ascii="Times New Roman" w:eastAsia="仿宋_GB2312" w:hAnsi="Times New Roman" w:hint="eastAsia"/>
          <w:color w:val="000000"/>
          <w:kern w:val="0"/>
          <w:sz w:val="28"/>
          <w:szCs w:val="28"/>
        </w:rPr>
        <w:t xml:space="preserve">　</w:t>
      </w:r>
      <w:r w:rsidRPr="00AE50B3">
        <w:rPr>
          <w:rFonts w:ascii="Times New Roman" w:eastAsia="仿宋_GB2312" w:hAnsi="Times New Roman" w:hint="eastAsia"/>
          <w:dstrike/>
          <w:color w:val="000000"/>
          <w:kern w:val="0"/>
          <w:sz w:val="28"/>
          <w:szCs w:val="28"/>
        </w:rPr>
        <w:t>第十八条</w:t>
      </w:r>
      <w:r w:rsidRPr="00AE50B3">
        <w:rPr>
          <w:rFonts w:ascii="Times New Roman" w:eastAsia="仿宋_GB2312" w:hAnsi="Times New Roman"/>
          <w:dstrike/>
          <w:color w:val="000000"/>
          <w:kern w:val="0"/>
          <w:sz w:val="28"/>
          <w:szCs w:val="28"/>
        </w:rPr>
        <w:t xml:space="preserve"> </w:t>
      </w:r>
      <w:r w:rsidRPr="00AE50B3">
        <w:rPr>
          <w:rFonts w:ascii="Times New Roman" w:eastAsia="仿宋_GB2312" w:hAnsi="Times New Roman" w:hint="eastAsia"/>
          <w:dstrike/>
          <w:color w:val="000000"/>
          <w:kern w:val="0"/>
          <w:sz w:val="28"/>
          <w:szCs w:val="28"/>
        </w:rPr>
        <w:t>若焦炭、焦煤、铁矿石、鸡蛋、纤维板、胶合板、聚丙烯、玉米淀粉以外品种合约第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个交易日出现与第</w:t>
      </w:r>
      <w:r w:rsidRPr="00AE50B3">
        <w:rPr>
          <w:rFonts w:ascii="Times New Roman" w:eastAsia="仿宋_GB2312" w:hAnsi="Times New Roman"/>
          <w:dstrike/>
          <w:color w:val="000000"/>
          <w:kern w:val="0"/>
          <w:sz w:val="28"/>
          <w:szCs w:val="28"/>
        </w:rPr>
        <w:t>N+1</w:t>
      </w:r>
      <w:r w:rsidRPr="00AE50B3">
        <w:rPr>
          <w:rFonts w:ascii="Times New Roman" w:eastAsia="仿宋_GB2312" w:hAnsi="Times New Roman" w:hint="eastAsia"/>
          <w:dstrike/>
          <w:color w:val="000000"/>
          <w:kern w:val="0"/>
          <w:sz w:val="28"/>
          <w:szCs w:val="28"/>
        </w:rPr>
        <w:t>个交易日同方向涨跌停板单边无连续报价的情况，则在第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个交易日收市后，交易所将进行强制减仓。如连续同方向涨跌停板系因会员或客户交易行为异常引发，则按第八章规定处理。</w:t>
      </w:r>
    </w:p>
    <w:p w:rsidR="00EE1C68" w:rsidRPr="00AE50B3" w:rsidRDefault="00EE1C68" w:rsidP="00EE1C68">
      <w:pPr>
        <w:widowControl/>
        <w:spacing w:line="560" w:lineRule="exact"/>
        <w:jc w:val="left"/>
        <w:rPr>
          <w:rFonts w:ascii="Times New Roman" w:eastAsia="仿宋_GB2312" w:hAnsi="Times New Roman"/>
          <w:dstrike/>
          <w:color w:val="000000"/>
          <w:kern w:val="0"/>
          <w:sz w:val="28"/>
          <w:szCs w:val="28"/>
        </w:rPr>
      </w:pPr>
      <w:r w:rsidRPr="00AE50B3">
        <w:rPr>
          <w:rFonts w:ascii="Times New Roman" w:eastAsia="仿宋_GB2312" w:hAnsi="Times New Roman" w:hint="eastAsia"/>
          <w:color w:val="000000"/>
          <w:kern w:val="0"/>
          <w:sz w:val="28"/>
          <w:szCs w:val="28"/>
        </w:rPr>
        <w:t xml:space="preserve">　　</w:t>
      </w:r>
      <w:r w:rsidRPr="00AE50B3">
        <w:rPr>
          <w:rFonts w:ascii="Times New Roman" w:eastAsia="仿宋_GB2312" w:hAnsi="Times New Roman" w:hint="eastAsia"/>
          <w:dstrike/>
          <w:color w:val="000000"/>
          <w:kern w:val="0"/>
          <w:sz w:val="28"/>
          <w:szCs w:val="28"/>
        </w:rPr>
        <w:t>当焦炭、焦煤、铁矿石、鸡蛋、纤维板、胶合板、聚丙烯、玉米淀粉合约第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个交易日出现与第</w:t>
      </w:r>
      <w:r w:rsidRPr="00AE50B3">
        <w:rPr>
          <w:rFonts w:ascii="Times New Roman" w:eastAsia="仿宋_GB2312" w:hAnsi="Times New Roman"/>
          <w:dstrike/>
          <w:color w:val="000000"/>
          <w:kern w:val="0"/>
          <w:sz w:val="28"/>
          <w:szCs w:val="28"/>
        </w:rPr>
        <w:t>N+1</w:t>
      </w:r>
      <w:r w:rsidRPr="00AE50B3">
        <w:rPr>
          <w:rFonts w:ascii="Times New Roman" w:eastAsia="仿宋_GB2312" w:hAnsi="Times New Roman" w:hint="eastAsia"/>
          <w:dstrike/>
          <w:color w:val="000000"/>
          <w:kern w:val="0"/>
          <w:sz w:val="28"/>
          <w:szCs w:val="28"/>
        </w:rPr>
        <w:t>个交易日同方向涨跌停板单边无连续报价的情况时，若第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个交易日是该合约的最后交易日，则该合约直接进入交割；若第</w:t>
      </w:r>
      <w:r w:rsidRPr="00AE50B3">
        <w:rPr>
          <w:rFonts w:ascii="Times New Roman" w:eastAsia="仿宋_GB2312" w:hAnsi="Times New Roman"/>
          <w:dstrike/>
          <w:color w:val="000000"/>
          <w:kern w:val="0"/>
          <w:sz w:val="28"/>
          <w:szCs w:val="28"/>
        </w:rPr>
        <w:t>N+3</w:t>
      </w:r>
      <w:r w:rsidRPr="00AE50B3">
        <w:rPr>
          <w:rFonts w:ascii="Times New Roman" w:eastAsia="仿宋_GB2312" w:hAnsi="Times New Roman" w:hint="eastAsia"/>
          <w:dstrike/>
          <w:color w:val="000000"/>
          <w:kern w:val="0"/>
          <w:sz w:val="28"/>
          <w:szCs w:val="28"/>
        </w:rPr>
        <w:t>个交易日是该合约的最后交易日，则第</w:t>
      </w:r>
      <w:r w:rsidRPr="00AE50B3">
        <w:rPr>
          <w:rFonts w:ascii="Times New Roman" w:eastAsia="仿宋_GB2312" w:hAnsi="Times New Roman"/>
          <w:dstrike/>
          <w:color w:val="000000"/>
          <w:kern w:val="0"/>
          <w:sz w:val="28"/>
          <w:szCs w:val="28"/>
        </w:rPr>
        <w:t>N+3</w:t>
      </w:r>
      <w:r w:rsidRPr="00AE50B3">
        <w:rPr>
          <w:rFonts w:ascii="Times New Roman" w:eastAsia="仿宋_GB2312" w:hAnsi="Times New Roman" w:hint="eastAsia"/>
          <w:dstrike/>
          <w:color w:val="000000"/>
          <w:kern w:val="0"/>
          <w:sz w:val="28"/>
          <w:szCs w:val="28"/>
        </w:rPr>
        <w:t>个交易日该合约按第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个交易日的涨跌停板和保证金水平继续交易；除上述两种情况之外，交易所可在第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个交易日根据市场情况决定并公告，对该合约实施下列两种措施中的任意一种：</w:t>
      </w:r>
    </w:p>
    <w:p w:rsidR="00EE1C68" w:rsidRPr="00AE50B3" w:rsidRDefault="00EE1C68" w:rsidP="00EE1C68">
      <w:pPr>
        <w:widowControl/>
        <w:spacing w:line="560" w:lineRule="exact"/>
        <w:jc w:val="left"/>
        <w:rPr>
          <w:rFonts w:ascii="Times New Roman" w:eastAsia="仿宋_GB2312" w:hAnsi="Times New Roman"/>
          <w:dstrike/>
          <w:color w:val="000000"/>
          <w:kern w:val="0"/>
          <w:sz w:val="28"/>
          <w:szCs w:val="28"/>
        </w:rPr>
      </w:pPr>
      <w:r w:rsidRPr="00AE50B3">
        <w:rPr>
          <w:rFonts w:ascii="Times New Roman" w:eastAsia="仿宋_GB2312" w:hAnsi="Times New Roman" w:hint="eastAsia"/>
          <w:color w:val="000000"/>
          <w:kern w:val="0"/>
          <w:sz w:val="28"/>
          <w:szCs w:val="28"/>
        </w:rPr>
        <w:t xml:space="preserve">　　</w:t>
      </w:r>
      <w:r w:rsidRPr="00AE50B3">
        <w:rPr>
          <w:rFonts w:ascii="Times New Roman" w:eastAsia="仿宋_GB2312" w:hAnsi="Times New Roman" w:hint="eastAsia"/>
          <w:dstrike/>
          <w:color w:val="000000"/>
          <w:kern w:val="0"/>
          <w:sz w:val="28"/>
          <w:szCs w:val="28"/>
        </w:rPr>
        <w:t>措施一：在第</w:t>
      </w:r>
      <w:r w:rsidRPr="00AE50B3">
        <w:rPr>
          <w:rFonts w:ascii="Times New Roman" w:eastAsia="仿宋_GB2312" w:hAnsi="Times New Roman"/>
          <w:dstrike/>
          <w:color w:val="000000"/>
          <w:kern w:val="0"/>
          <w:sz w:val="28"/>
          <w:szCs w:val="28"/>
        </w:rPr>
        <w:t>N+3</w:t>
      </w:r>
      <w:r w:rsidRPr="00AE50B3">
        <w:rPr>
          <w:rFonts w:ascii="Times New Roman" w:eastAsia="仿宋_GB2312" w:hAnsi="Times New Roman" w:hint="eastAsia"/>
          <w:dstrike/>
          <w:color w:val="000000"/>
          <w:kern w:val="0"/>
          <w:sz w:val="28"/>
          <w:szCs w:val="28"/>
        </w:rPr>
        <w:t>个交易日，交易所采取单边或双边、同比例或不同比例、部分会员或全部会员提高交易保证金，暂停部分会员或全部会员开新仓，调整涨跌停板幅度，限制出金，限期平仓，强行平仓等措施中的一种或多种化解市场风险。</w:t>
      </w:r>
    </w:p>
    <w:p w:rsidR="00EE1C68" w:rsidRPr="00AE50B3" w:rsidRDefault="00EE1C68" w:rsidP="00EE1C68">
      <w:pPr>
        <w:widowControl/>
        <w:spacing w:line="560" w:lineRule="exact"/>
        <w:jc w:val="left"/>
        <w:rPr>
          <w:rFonts w:ascii="Times New Roman" w:eastAsia="仿宋_GB2312" w:hAnsi="Times New Roman"/>
          <w:dstrike/>
          <w:color w:val="000000"/>
          <w:kern w:val="0"/>
          <w:sz w:val="28"/>
          <w:szCs w:val="28"/>
        </w:rPr>
      </w:pPr>
      <w:r w:rsidRPr="00AE50B3">
        <w:rPr>
          <w:rFonts w:ascii="Times New Roman" w:eastAsia="仿宋_GB2312" w:hAnsi="Times New Roman" w:hint="eastAsia"/>
          <w:color w:val="000000"/>
          <w:kern w:val="0"/>
          <w:sz w:val="28"/>
          <w:szCs w:val="28"/>
        </w:rPr>
        <w:t xml:space="preserve">　　</w:t>
      </w:r>
      <w:r w:rsidRPr="00AE50B3">
        <w:rPr>
          <w:rFonts w:ascii="Times New Roman" w:eastAsia="仿宋_GB2312" w:hAnsi="Times New Roman" w:hint="eastAsia"/>
          <w:dstrike/>
          <w:color w:val="000000"/>
          <w:kern w:val="0"/>
          <w:sz w:val="28"/>
          <w:szCs w:val="28"/>
        </w:rPr>
        <w:t>措施二：在第</w:t>
      </w:r>
      <w:r w:rsidRPr="00AE50B3">
        <w:rPr>
          <w:rFonts w:ascii="Times New Roman" w:eastAsia="仿宋_GB2312" w:hAnsi="Times New Roman"/>
          <w:dstrike/>
          <w:color w:val="000000"/>
          <w:kern w:val="0"/>
          <w:sz w:val="28"/>
          <w:szCs w:val="28"/>
        </w:rPr>
        <w:t>N+2</w:t>
      </w:r>
      <w:r w:rsidRPr="00AE50B3">
        <w:rPr>
          <w:rFonts w:ascii="Times New Roman" w:eastAsia="仿宋_GB2312" w:hAnsi="Times New Roman" w:hint="eastAsia"/>
          <w:dstrike/>
          <w:color w:val="000000"/>
          <w:kern w:val="0"/>
          <w:sz w:val="28"/>
          <w:szCs w:val="28"/>
        </w:rPr>
        <w:t>个交易日收市后，交易所将进行强制减仓。</w:t>
      </w:r>
    </w:p>
    <w:p w:rsidR="00EE1C68" w:rsidRPr="00AE50B3" w:rsidRDefault="00EE1C68" w:rsidP="00EE1C68">
      <w:pPr>
        <w:widowControl/>
        <w:spacing w:line="560" w:lineRule="exact"/>
        <w:ind w:firstLineChars="200" w:firstLine="560"/>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第十八条</w:t>
      </w:r>
      <w:r w:rsidRPr="00AE50B3">
        <w:rPr>
          <w:rFonts w:ascii="Times New Roman" w:eastAsia="仿宋_GB2312" w:hAnsi="Times New Roman"/>
          <w:color w:val="000000"/>
          <w:kern w:val="0"/>
          <w:sz w:val="28"/>
          <w:szCs w:val="28"/>
          <w:shd w:val="pct15" w:color="auto" w:fill="FFFFFF"/>
        </w:rPr>
        <w:t xml:space="preserve"> </w:t>
      </w:r>
      <w:r w:rsidRPr="00AE50B3">
        <w:rPr>
          <w:rFonts w:ascii="Times New Roman" w:eastAsia="仿宋_GB2312" w:hAnsi="Times New Roman" w:hint="eastAsia"/>
          <w:color w:val="000000"/>
          <w:kern w:val="0"/>
          <w:sz w:val="28"/>
          <w:szCs w:val="28"/>
          <w:shd w:val="pct15" w:color="auto" w:fill="FFFFFF"/>
        </w:rPr>
        <w:t>若某期货合约在第</w:t>
      </w:r>
      <w:r w:rsidRPr="00AE50B3">
        <w:rPr>
          <w:rFonts w:ascii="Times New Roman" w:eastAsia="仿宋_GB2312" w:hAnsi="Times New Roman"/>
          <w:color w:val="000000"/>
          <w:kern w:val="0"/>
          <w:sz w:val="28"/>
          <w:szCs w:val="28"/>
          <w:shd w:val="pct15" w:color="auto" w:fill="FFFFFF"/>
        </w:rPr>
        <w:t>N+2</w:t>
      </w:r>
      <w:r w:rsidRPr="00AE50B3">
        <w:rPr>
          <w:rFonts w:ascii="Times New Roman" w:eastAsia="仿宋_GB2312" w:hAnsi="Times New Roman" w:hint="eastAsia"/>
          <w:color w:val="000000"/>
          <w:kern w:val="0"/>
          <w:sz w:val="28"/>
          <w:szCs w:val="28"/>
          <w:shd w:val="pct15" w:color="auto" w:fill="FFFFFF"/>
        </w:rPr>
        <w:t>个交易日出现与第</w:t>
      </w:r>
      <w:r w:rsidRPr="00AE50B3">
        <w:rPr>
          <w:rFonts w:ascii="Times New Roman" w:eastAsia="仿宋_GB2312" w:hAnsi="Times New Roman"/>
          <w:color w:val="000000"/>
          <w:kern w:val="0"/>
          <w:sz w:val="28"/>
          <w:szCs w:val="28"/>
          <w:shd w:val="pct15" w:color="auto" w:fill="FFFFFF"/>
        </w:rPr>
        <w:t>N+1</w:t>
      </w:r>
      <w:r w:rsidRPr="00AE50B3">
        <w:rPr>
          <w:rFonts w:ascii="Times New Roman" w:eastAsia="仿宋_GB2312" w:hAnsi="Times New Roman" w:hint="eastAsia"/>
          <w:color w:val="000000"/>
          <w:kern w:val="0"/>
          <w:sz w:val="28"/>
          <w:szCs w:val="28"/>
          <w:shd w:val="pct15" w:color="auto" w:fill="FFFFFF"/>
        </w:rPr>
        <w:t>个交易日同方向涨跌停板单边无连续报价的情况时，若第</w:t>
      </w:r>
      <w:r w:rsidRPr="00AE50B3">
        <w:rPr>
          <w:rFonts w:ascii="Times New Roman" w:eastAsia="仿宋_GB2312" w:hAnsi="Times New Roman"/>
          <w:color w:val="000000"/>
          <w:kern w:val="0"/>
          <w:sz w:val="28"/>
          <w:szCs w:val="28"/>
          <w:shd w:val="pct15" w:color="auto" w:fill="FFFFFF"/>
        </w:rPr>
        <w:t>N+2</w:t>
      </w:r>
      <w:r w:rsidRPr="00AE50B3">
        <w:rPr>
          <w:rFonts w:ascii="Times New Roman" w:eastAsia="仿宋_GB2312" w:hAnsi="Times New Roman" w:hint="eastAsia"/>
          <w:color w:val="000000"/>
          <w:kern w:val="0"/>
          <w:sz w:val="28"/>
          <w:szCs w:val="28"/>
          <w:shd w:val="pct15" w:color="auto" w:fill="FFFFFF"/>
        </w:rPr>
        <w:t>个交易日</w:t>
      </w:r>
      <w:r w:rsidRPr="00AE50B3">
        <w:rPr>
          <w:rFonts w:ascii="Times New Roman" w:eastAsia="仿宋_GB2312" w:hAnsi="Times New Roman" w:hint="eastAsia"/>
          <w:color w:val="000000"/>
          <w:kern w:val="0"/>
          <w:sz w:val="28"/>
          <w:szCs w:val="28"/>
          <w:shd w:val="pct15" w:color="auto" w:fill="FFFFFF"/>
        </w:rPr>
        <w:lastRenderedPageBreak/>
        <w:t>是该期货合约的最后交易日，则该合约直接进入交割；若第</w:t>
      </w:r>
      <w:r w:rsidRPr="00AE50B3">
        <w:rPr>
          <w:rFonts w:ascii="Times New Roman" w:eastAsia="仿宋_GB2312" w:hAnsi="Times New Roman"/>
          <w:color w:val="000000"/>
          <w:kern w:val="0"/>
          <w:sz w:val="28"/>
          <w:szCs w:val="28"/>
          <w:shd w:val="pct15" w:color="auto" w:fill="FFFFFF"/>
        </w:rPr>
        <w:t>N+3</w:t>
      </w:r>
      <w:r w:rsidRPr="00AE50B3">
        <w:rPr>
          <w:rFonts w:ascii="Times New Roman" w:eastAsia="仿宋_GB2312" w:hAnsi="Times New Roman" w:hint="eastAsia"/>
          <w:color w:val="000000"/>
          <w:kern w:val="0"/>
          <w:sz w:val="28"/>
          <w:szCs w:val="28"/>
          <w:shd w:val="pct15" w:color="auto" w:fill="FFFFFF"/>
        </w:rPr>
        <w:t>个交易日是该期货合约的最后交易日，则第</w:t>
      </w:r>
      <w:r w:rsidRPr="00AE50B3">
        <w:rPr>
          <w:rFonts w:ascii="Times New Roman" w:eastAsia="仿宋_GB2312" w:hAnsi="Times New Roman"/>
          <w:color w:val="000000"/>
          <w:kern w:val="0"/>
          <w:sz w:val="28"/>
          <w:szCs w:val="28"/>
          <w:shd w:val="pct15" w:color="auto" w:fill="FFFFFF"/>
        </w:rPr>
        <w:t>N+3</w:t>
      </w:r>
      <w:r w:rsidRPr="00AE50B3">
        <w:rPr>
          <w:rFonts w:ascii="Times New Roman" w:eastAsia="仿宋_GB2312" w:hAnsi="Times New Roman" w:hint="eastAsia"/>
          <w:color w:val="000000"/>
          <w:kern w:val="0"/>
          <w:sz w:val="28"/>
          <w:szCs w:val="28"/>
          <w:shd w:val="pct15" w:color="auto" w:fill="FFFFFF"/>
        </w:rPr>
        <w:t>个交易日该合约按第</w:t>
      </w:r>
      <w:r w:rsidRPr="00AE50B3">
        <w:rPr>
          <w:rFonts w:ascii="Times New Roman" w:eastAsia="仿宋_GB2312" w:hAnsi="Times New Roman"/>
          <w:color w:val="000000"/>
          <w:kern w:val="0"/>
          <w:sz w:val="28"/>
          <w:szCs w:val="28"/>
          <w:shd w:val="pct15" w:color="auto" w:fill="FFFFFF"/>
        </w:rPr>
        <w:t>N+2</w:t>
      </w:r>
      <w:r w:rsidRPr="00AE50B3">
        <w:rPr>
          <w:rFonts w:ascii="Times New Roman" w:eastAsia="仿宋_GB2312" w:hAnsi="Times New Roman" w:hint="eastAsia"/>
          <w:color w:val="000000"/>
          <w:kern w:val="0"/>
          <w:sz w:val="28"/>
          <w:szCs w:val="28"/>
          <w:shd w:val="pct15" w:color="auto" w:fill="FFFFFF"/>
        </w:rPr>
        <w:t>个交易日的涨跌停板和保证金水平继续交易。除上述两种情况之外，交易所可在第</w:t>
      </w:r>
      <w:r w:rsidRPr="00AE50B3">
        <w:rPr>
          <w:rFonts w:ascii="Times New Roman" w:eastAsia="仿宋_GB2312" w:hAnsi="Times New Roman"/>
          <w:color w:val="000000"/>
          <w:kern w:val="0"/>
          <w:sz w:val="28"/>
          <w:szCs w:val="28"/>
          <w:shd w:val="pct15" w:color="auto" w:fill="FFFFFF"/>
        </w:rPr>
        <w:t>N+2</w:t>
      </w:r>
      <w:r w:rsidRPr="00AE50B3">
        <w:rPr>
          <w:rFonts w:ascii="Times New Roman" w:eastAsia="仿宋_GB2312" w:hAnsi="Times New Roman" w:hint="eastAsia"/>
          <w:color w:val="000000"/>
          <w:kern w:val="0"/>
          <w:sz w:val="28"/>
          <w:szCs w:val="28"/>
          <w:shd w:val="pct15" w:color="auto" w:fill="FFFFFF"/>
        </w:rPr>
        <w:t>个交易日收市后决定并公告，对该合约实施下列措施中的一种或多种化解市场风险：</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（一）单边或双边、同比例或不同比例、部分会员或全部会员提高交易保证金；</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（二）调整涨跌停板幅度；</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（三）暂停部分会员或全部会员开新仓；</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（四）限制出金；</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（五）限期平仓；</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（六）强行平仓；</w:t>
      </w:r>
    </w:p>
    <w:p w:rsidR="00EE1C68" w:rsidRPr="00AE50B3" w:rsidRDefault="00EE1C68" w:rsidP="00EE1C68">
      <w:pPr>
        <w:widowControl/>
        <w:spacing w:line="560" w:lineRule="exact"/>
        <w:ind w:firstLineChars="200" w:firstLine="560"/>
        <w:jc w:val="left"/>
        <w:rPr>
          <w:rFonts w:ascii="Times New Roman" w:eastAsia="仿宋_GB2312" w:hAnsi="Times New Roman"/>
          <w:color w:val="000000"/>
          <w:kern w:val="0"/>
          <w:sz w:val="28"/>
          <w:szCs w:val="28"/>
          <w:shd w:val="pct15" w:color="auto" w:fill="FFFFFF"/>
        </w:rPr>
      </w:pPr>
      <w:r w:rsidRPr="00AE50B3">
        <w:rPr>
          <w:rFonts w:ascii="Times New Roman" w:eastAsia="仿宋_GB2312" w:hAnsi="Times New Roman" w:hint="eastAsia"/>
          <w:color w:val="000000"/>
          <w:kern w:val="0"/>
          <w:sz w:val="28"/>
          <w:szCs w:val="28"/>
          <w:shd w:val="pct15" w:color="auto" w:fill="FFFFFF"/>
        </w:rPr>
        <w:t>（七）在第</w:t>
      </w:r>
      <w:r w:rsidRPr="00AE50B3">
        <w:rPr>
          <w:rFonts w:ascii="Times New Roman" w:eastAsia="仿宋_GB2312" w:hAnsi="Times New Roman"/>
          <w:color w:val="000000"/>
          <w:kern w:val="0"/>
          <w:sz w:val="28"/>
          <w:szCs w:val="28"/>
          <w:shd w:val="pct15" w:color="auto" w:fill="FFFFFF"/>
        </w:rPr>
        <w:t>N+2</w:t>
      </w:r>
      <w:r w:rsidRPr="00AE50B3">
        <w:rPr>
          <w:rFonts w:ascii="Times New Roman" w:eastAsia="仿宋_GB2312" w:hAnsi="Times New Roman" w:hint="eastAsia"/>
          <w:color w:val="000000"/>
          <w:kern w:val="0"/>
          <w:sz w:val="28"/>
          <w:szCs w:val="28"/>
          <w:shd w:val="pct15" w:color="auto" w:fill="FFFFFF"/>
        </w:rPr>
        <w:t>个交易日收市后强制减仓。</w:t>
      </w:r>
    </w:p>
    <w:p w:rsidR="00EE1C68" w:rsidRPr="00AE50B3" w:rsidRDefault="00EE1C68" w:rsidP="00EE1C68">
      <w:pPr>
        <w:widowControl/>
        <w:spacing w:line="580" w:lineRule="exact"/>
        <w:ind w:firstLineChars="200" w:firstLine="560"/>
        <w:jc w:val="left"/>
        <w:rPr>
          <w:rFonts w:ascii="仿宋_GB2312" w:eastAsia="仿宋_GB2312" w:hAnsi="仿宋" w:cs="宋体"/>
          <w:kern w:val="0"/>
          <w:sz w:val="28"/>
          <w:szCs w:val="28"/>
        </w:rPr>
      </w:pPr>
      <w:r w:rsidRPr="00AE50B3">
        <w:rPr>
          <w:rFonts w:ascii="仿宋_GB2312" w:eastAsia="仿宋_GB2312" w:hAnsi="仿宋" w:cs="宋体" w:hint="eastAsia"/>
          <w:kern w:val="0"/>
          <w:sz w:val="28"/>
          <w:szCs w:val="28"/>
        </w:rPr>
        <w:t>第二十四条</w:t>
      </w:r>
      <w:r w:rsidRPr="00AE50B3">
        <w:rPr>
          <w:rFonts w:ascii="仿宋_GB2312" w:eastAsia="仿宋_GB2312" w:hAnsi="仿宋" w:cs="宋体"/>
          <w:kern w:val="0"/>
          <w:sz w:val="28"/>
          <w:szCs w:val="28"/>
        </w:rPr>
        <w:t xml:space="preserve">  </w:t>
      </w:r>
      <w:r w:rsidRPr="00AE50B3">
        <w:rPr>
          <w:rFonts w:ascii="仿宋_GB2312" w:eastAsia="仿宋_GB2312" w:hAnsi="仿宋" w:cs="宋体" w:hint="eastAsia"/>
          <w:kern w:val="0"/>
          <w:sz w:val="28"/>
          <w:szCs w:val="28"/>
        </w:rPr>
        <w:t>非期货公司会员和客户采取不同的限仓要求：</w:t>
      </w:r>
    </w:p>
    <w:p w:rsidR="00EE1C68" w:rsidRPr="00AE50B3" w:rsidRDefault="00EE1C68" w:rsidP="00EE1C68">
      <w:pPr>
        <w:widowControl/>
        <w:spacing w:line="580" w:lineRule="exact"/>
        <w:ind w:firstLineChars="200" w:firstLine="560"/>
        <w:jc w:val="left"/>
        <w:rPr>
          <w:rFonts w:ascii="仿宋_GB2312" w:eastAsia="仿宋_GB2312" w:hAnsi="仿宋" w:cs="宋体"/>
          <w:kern w:val="0"/>
          <w:sz w:val="28"/>
          <w:szCs w:val="28"/>
        </w:rPr>
      </w:pPr>
      <w:r w:rsidRPr="00AE50B3">
        <w:rPr>
          <w:rFonts w:ascii="仿宋_GB2312" w:eastAsia="仿宋_GB2312" w:hAnsi="仿宋" w:cs="宋体" w:hint="eastAsia"/>
          <w:kern w:val="0"/>
          <w:sz w:val="28"/>
          <w:szCs w:val="28"/>
        </w:rPr>
        <w:t>鸡蛋以外品种期货合约上市交易的一般月份（合约上市至交割月份前一个月第</w:t>
      </w:r>
      <w:r w:rsidRPr="00AE50B3">
        <w:rPr>
          <w:rFonts w:ascii="仿宋_GB2312" w:eastAsia="仿宋_GB2312" w:hAnsi="仿宋" w:cs="宋体" w:hint="eastAsia"/>
          <w:dstrike/>
          <w:kern w:val="0"/>
          <w:sz w:val="28"/>
          <w:szCs w:val="28"/>
        </w:rPr>
        <w:t>九</w:t>
      </w:r>
      <w:r w:rsidRPr="00AE50B3">
        <w:rPr>
          <w:rFonts w:ascii="仿宋_GB2312" w:eastAsia="仿宋_GB2312" w:hAnsi="仿宋" w:cs="宋体" w:hint="eastAsia"/>
          <w:kern w:val="0"/>
          <w:sz w:val="28"/>
          <w:szCs w:val="28"/>
          <w:shd w:val="pct15" w:color="auto" w:fill="FFFFFF"/>
        </w:rPr>
        <w:t>十四</w:t>
      </w:r>
      <w:r w:rsidRPr="00AE50B3">
        <w:rPr>
          <w:rFonts w:ascii="仿宋_GB2312" w:eastAsia="仿宋_GB2312" w:hAnsi="仿宋" w:cs="宋体" w:hint="eastAsia"/>
          <w:kern w:val="0"/>
          <w:sz w:val="28"/>
          <w:szCs w:val="28"/>
        </w:rPr>
        <w:t>个交易日）期间，当该合约的单边持仓量达到一定规模起，非期货公司会员和客户按单边持仓量的一定比例确定限仓数额；在该合约的单边持仓量达到该规模前，非期货公司会员和客户该合约限仓数额以绝对量方式规定。在期货合约进入交割月份前一个月第十</w:t>
      </w:r>
      <w:r w:rsidRPr="00AE50B3">
        <w:rPr>
          <w:rFonts w:ascii="仿宋_GB2312" w:eastAsia="仿宋_GB2312" w:hAnsi="仿宋" w:cs="宋体" w:hint="eastAsia"/>
          <w:kern w:val="0"/>
          <w:sz w:val="28"/>
          <w:szCs w:val="28"/>
          <w:shd w:val="pct15" w:color="auto" w:fill="FFFFFF"/>
        </w:rPr>
        <w:t>五</w:t>
      </w:r>
      <w:r w:rsidRPr="00AE50B3">
        <w:rPr>
          <w:rFonts w:ascii="仿宋_GB2312" w:eastAsia="仿宋_GB2312" w:hAnsi="仿宋" w:cs="宋体" w:hint="eastAsia"/>
          <w:kern w:val="0"/>
          <w:sz w:val="28"/>
          <w:szCs w:val="28"/>
        </w:rPr>
        <w:t>个交易日至交割月期间，非期货公司会员和客户限仓数额以绝对量方式规定。鸡蛋品种非期货公司会员和客户的限仓数额以绝对量方式规定。</w:t>
      </w:r>
    </w:p>
    <w:p w:rsidR="00EE1C68" w:rsidRPr="00AE50B3" w:rsidRDefault="00EE1C68" w:rsidP="00EE1C68">
      <w:pPr>
        <w:widowControl/>
        <w:spacing w:line="580" w:lineRule="exact"/>
        <w:ind w:firstLineChars="200" w:firstLine="560"/>
        <w:jc w:val="left"/>
        <w:rPr>
          <w:rFonts w:ascii="仿宋_GB2312" w:eastAsia="仿宋_GB2312" w:hAnsi="仿宋" w:cs="宋体"/>
          <w:kern w:val="0"/>
          <w:sz w:val="28"/>
          <w:szCs w:val="28"/>
        </w:rPr>
      </w:pPr>
      <w:r w:rsidRPr="00AE50B3">
        <w:rPr>
          <w:rFonts w:ascii="仿宋_GB2312" w:eastAsia="仿宋_GB2312" w:hAnsi="仿宋" w:cs="宋体" w:hint="eastAsia"/>
          <w:kern w:val="0"/>
          <w:sz w:val="28"/>
          <w:szCs w:val="28"/>
        </w:rPr>
        <w:lastRenderedPageBreak/>
        <w:t>第二十五条</w:t>
      </w:r>
      <w:r w:rsidRPr="00AE50B3">
        <w:rPr>
          <w:rFonts w:ascii="仿宋_GB2312" w:eastAsia="仿宋_GB2312" w:hAnsi="仿宋" w:cs="宋体"/>
          <w:kern w:val="0"/>
          <w:sz w:val="28"/>
          <w:szCs w:val="28"/>
        </w:rPr>
        <w:t xml:space="preserve"> </w:t>
      </w:r>
      <w:r w:rsidRPr="00AE50B3">
        <w:rPr>
          <w:rFonts w:ascii="仿宋_GB2312" w:eastAsia="仿宋_GB2312" w:hAnsi="仿宋" w:cs="宋体" w:hint="eastAsia"/>
          <w:kern w:val="0"/>
          <w:sz w:val="28"/>
          <w:szCs w:val="28"/>
        </w:rPr>
        <w:t>除鸡蛋品种外，各品种期货合约一般月份（合约上市至交割月份前一个月第</w:t>
      </w:r>
      <w:r w:rsidRPr="00AE50B3">
        <w:rPr>
          <w:rFonts w:ascii="仿宋_GB2312" w:eastAsia="仿宋_GB2312" w:hAnsi="仿宋" w:cs="宋体" w:hint="eastAsia"/>
          <w:dstrike/>
          <w:kern w:val="0"/>
          <w:sz w:val="28"/>
          <w:szCs w:val="28"/>
        </w:rPr>
        <w:t>九</w:t>
      </w:r>
      <w:r w:rsidRPr="00AE50B3">
        <w:rPr>
          <w:rFonts w:ascii="仿宋_GB2312" w:eastAsia="仿宋_GB2312" w:hAnsi="仿宋" w:cs="宋体" w:hint="eastAsia"/>
          <w:kern w:val="0"/>
          <w:sz w:val="28"/>
          <w:szCs w:val="28"/>
          <w:shd w:val="pct15" w:color="auto" w:fill="FFFFFF"/>
        </w:rPr>
        <w:t>十四</w:t>
      </w:r>
      <w:r w:rsidRPr="00AE50B3">
        <w:rPr>
          <w:rFonts w:ascii="仿宋_GB2312" w:eastAsia="仿宋_GB2312" w:hAnsi="仿宋" w:cs="宋体" w:hint="eastAsia"/>
          <w:kern w:val="0"/>
          <w:sz w:val="28"/>
          <w:szCs w:val="28"/>
        </w:rPr>
        <w:t>个交易日）非期货公司会员和客户持仓限额见下表：（单位：手）</w:t>
      </w:r>
    </w:p>
    <w:tbl>
      <w:tblPr>
        <w:tblW w:w="53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2803"/>
        <w:gridCol w:w="2299"/>
        <w:gridCol w:w="2112"/>
      </w:tblGrid>
      <w:tr w:rsidR="00EE1C68" w:rsidRPr="00AE50B3" w:rsidTr="000452FF">
        <w:trPr>
          <w:trHeight w:val="20"/>
          <w:jc w:val="center"/>
        </w:trPr>
        <w:tc>
          <w:tcPr>
            <w:tcW w:w="939" w:type="pc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品种</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合约单边持仓规模</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非期货公司会员</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客户</w:t>
            </w:r>
          </w:p>
        </w:tc>
      </w:tr>
      <w:tr w:rsidR="00EE1C68" w:rsidRPr="00AE50B3" w:rsidTr="000452FF">
        <w:trPr>
          <w:trHeight w:val="20"/>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黄大豆</w:t>
            </w:r>
            <w:r w:rsidRPr="00AE50B3">
              <w:rPr>
                <w:rFonts w:ascii="仿宋_GB2312" w:eastAsia="仿宋_GB2312" w:hAnsi="宋体" w:cs="宋体"/>
                <w:color w:val="000000"/>
                <w:kern w:val="0"/>
                <w:sz w:val="28"/>
                <w:szCs w:val="28"/>
              </w:rPr>
              <w:t>1</w:t>
            </w:r>
            <w:r w:rsidRPr="00AE50B3">
              <w:rPr>
                <w:rFonts w:ascii="仿宋_GB2312" w:eastAsia="仿宋_GB2312" w:hAnsi="宋体" w:cs="宋体" w:hint="eastAsia"/>
                <w:color w:val="000000"/>
                <w:kern w:val="0"/>
                <w:sz w:val="28"/>
                <w:szCs w:val="28"/>
              </w:rPr>
              <w:t>号</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黄大豆</w:t>
            </w:r>
            <w:r w:rsidRPr="00AE50B3">
              <w:rPr>
                <w:rFonts w:ascii="仿宋_GB2312" w:eastAsia="仿宋_GB2312" w:hAnsi="宋体" w:cs="宋体"/>
                <w:color w:val="000000"/>
                <w:kern w:val="0"/>
                <w:sz w:val="28"/>
                <w:szCs w:val="28"/>
              </w:rPr>
              <w:t>2</w:t>
            </w:r>
            <w:r w:rsidRPr="00AE50B3">
              <w:rPr>
                <w:rFonts w:ascii="仿宋_GB2312" w:eastAsia="仿宋_GB2312" w:hAnsi="宋体" w:cs="宋体" w:hint="eastAsia"/>
                <w:color w:val="000000"/>
                <w:kern w:val="0"/>
                <w:sz w:val="28"/>
                <w:szCs w:val="28"/>
              </w:rPr>
              <w:t>号</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1263"/>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豆粕</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spacing w:line="360" w:lineRule="auto"/>
              <w:jc w:val="left"/>
              <w:rPr>
                <w:rFonts w:ascii="仿宋_GB2312" w:eastAsia="仿宋_GB2312" w:hAnsi="宋体" w:cs="宋体"/>
                <w:color w:val="000000"/>
                <w:kern w:val="0"/>
                <w:sz w:val="28"/>
                <w:szCs w:val="28"/>
              </w:rPr>
            </w:pPr>
            <w:r w:rsidRPr="00AE50B3">
              <w:rPr>
                <w:rFonts w:ascii="仿宋_GB2312" w:eastAsia="仿宋_GB2312" w:hAnsi="仿宋" w:cs="宋体" w:hint="eastAsia"/>
                <w:kern w:val="0"/>
                <w:sz w:val="28"/>
                <w:szCs w:val="28"/>
                <w:shd w:val="pct15" w:color="auto" w:fill="FFFFFF"/>
              </w:rPr>
              <w:t>单边持仓≤</w:t>
            </w:r>
            <w:r w:rsidRPr="00AE50B3">
              <w:rPr>
                <w:rFonts w:ascii="仿宋_GB2312" w:eastAsia="仿宋_GB2312" w:hAnsi="仿宋" w:cs="宋体"/>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40,000</w:t>
            </w:r>
            <w:r w:rsidRPr="00AE50B3">
              <w:rPr>
                <w:rFonts w:ascii="仿宋_GB2312" w:eastAsia="仿宋_GB2312" w:hAnsi="仿宋" w:cs="宋体"/>
                <w:kern w:val="0"/>
                <w:sz w:val="28"/>
                <w:szCs w:val="28"/>
                <w:shd w:val="pct15" w:color="auto" w:fill="FFFFFF"/>
              </w:rPr>
              <w:t>80,000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仿宋" w:cs="宋体"/>
                <w:kern w:val="0"/>
                <w:sz w:val="28"/>
                <w:szCs w:val="28"/>
                <w:shd w:val="pct15" w:color="auto" w:fill="FFFFFF"/>
              </w:rPr>
              <w:t>40,000</w:t>
            </w:r>
          </w:p>
        </w:tc>
      </w:tr>
      <w:tr w:rsidR="00EE1C68" w:rsidRPr="00AE50B3" w:rsidTr="000452FF">
        <w:trPr>
          <w:trHeight w:val="1263"/>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spacing w:line="360" w:lineRule="auto"/>
              <w:jc w:val="left"/>
              <w:rPr>
                <w:rFonts w:ascii="仿宋_GB2312" w:eastAsia="仿宋_GB2312" w:hAnsi="宋体" w:cs="宋体"/>
                <w:color w:val="000000"/>
                <w:kern w:val="0"/>
                <w:sz w:val="28"/>
                <w:szCs w:val="28"/>
              </w:rPr>
            </w:pPr>
            <w:r w:rsidRPr="00AE50B3">
              <w:rPr>
                <w:rFonts w:ascii="仿宋_GB2312" w:eastAsia="仿宋_GB2312" w:hAnsi="仿宋" w:cs="宋体" w:hint="eastAsia"/>
                <w:kern w:val="0"/>
                <w:sz w:val="28"/>
                <w:szCs w:val="28"/>
                <w:shd w:val="pct15" w:color="auto" w:fill="FFFFFF"/>
              </w:rPr>
              <w:t>单边持仓＞</w:t>
            </w:r>
            <w:r w:rsidRPr="00AE50B3">
              <w:rPr>
                <w:rFonts w:ascii="仿宋_GB2312" w:eastAsia="仿宋_GB2312" w:hAnsi="仿宋" w:cs="宋体"/>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1263"/>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玉米</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spacing w:line="360" w:lineRule="auto"/>
              <w:jc w:val="left"/>
              <w:rPr>
                <w:rFonts w:ascii="仿宋_GB2312" w:eastAsia="仿宋_GB2312" w:hAnsi="宋体" w:cs="宋体"/>
                <w:color w:val="000000"/>
                <w:kern w:val="0"/>
                <w:sz w:val="28"/>
                <w:szCs w:val="28"/>
              </w:rPr>
            </w:pPr>
            <w:r w:rsidRPr="00AE50B3">
              <w:rPr>
                <w:rFonts w:ascii="仿宋_GB2312" w:eastAsia="仿宋_GB2312" w:hAnsi="仿宋" w:cs="宋体" w:hint="eastAsia"/>
                <w:kern w:val="0"/>
                <w:sz w:val="28"/>
                <w:szCs w:val="28"/>
                <w:shd w:val="pct15" w:color="auto" w:fill="FFFFFF"/>
              </w:rPr>
              <w:t>单边持仓≤</w:t>
            </w:r>
            <w:r w:rsidRPr="00AE50B3">
              <w:rPr>
                <w:rFonts w:ascii="仿宋_GB2312" w:eastAsia="仿宋_GB2312" w:hAnsi="仿宋" w:cs="宋体"/>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40,000</w:t>
            </w:r>
            <w:r w:rsidRPr="00AE50B3">
              <w:rPr>
                <w:rFonts w:ascii="仿宋_GB2312" w:eastAsia="仿宋_GB2312" w:hAnsi="仿宋" w:cs="宋体"/>
                <w:kern w:val="0"/>
                <w:sz w:val="28"/>
                <w:szCs w:val="28"/>
                <w:shd w:val="pct15" w:color="auto" w:fill="FFFFFF"/>
              </w:rPr>
              <w:t>80,000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仿宋" w:cs="宋体"/>
                <w:kern w:val="0"/>
                <w:sz w:val="28"/>
                <w:szCs w:val="28"/>
                <w:shd w:val="pct15" w:color="auto" w:fill="FFFFFF"/>
              </w:rPr>
              <w:t>40,000</w:t>
            </w:r>
          </w:p>
        </w:tc>
      </w:tr>
      <w:tr w:rsidR="00EE1C68" w:rsidRPr="00AE50B3" w:rsidTr="000452FF">
        <w:trPr>
          <w:trHeight w:val="1263"/>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spacing w:line="360" w:lineRule="auto"/>
              <w:jc w:val="left"/>
              <w:rPr>
                <w:rFonts w:ascii="仿宋_GB2312" w:eastAsia="仿宋_GB2312" w:hAnsi="宋体" w:cs="宋体"/>
                <w:color w:val="000000"/>
                <w:kern w:val="0"/>
                <w:sz w:val="28"/>
                <w:szCs w:val="28"/>
              </w:rPr>
            </w:pPr>
            <w:r w:rsidRPr="00AE50B3">
              <w:rPr>
                <w:rFonts w:ascii="仿宋_GB2312" w:eastAsia="仿宋_GB2312" w:hAnsi="仿宋" w:cs="宋体" w:hint="eastAsia"/>
                <w:kern w:val="0"/>
                <w:sz w:val="28"/>
                <w:szCs w:val="28"/>
                <w:shd w:val="pct15" w:color="auto" w:fill="FFFFFF"/>
              </w:rPr>
              <w:t>单边持仓＞</w:t>
            </w:r>
            <w:r w:rsidRPr="00AE50B3">
              <w:rPr>
                <w:rFonts w:ascii="仿宋_GB2312" w:eastAsia="仿宋_GB2312" w:hAnsi="仿宋" w:cs="宋体"/>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1263"/>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豆油</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100,000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宋体" w:cs="宋体"/>
                <w:color w:val="000000"/>
                <w:kern w:val="0"/>
                <w:sz w:val="28"/>
                <w:szCs w:val="28"/>
                <w:shd w:val="pct15" w:color="auto" w:fill="FFFFFF"/>
              </w:rPr>
              <w:t>40,000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10,000</w:t>
            </w:r>
            <w:r w:rsidRPr="00AE50B3">
              <w:rPr>
                <w:rFonts w:ascii="仿宋_GB2312" w:eastAsia="仿宋_GB2312" w:hAnsi="宋体" w:cs="宋体"/>
                <w:color w:val="000000"/>
                <w:kern w:val="0"/>
                <w:sz w:val="28"/>
                <w:szCs w:val="28"/>
                <w:shd w:val="pct15" w:color="auto" w:fill="FFFFFF"/>
              </w:rPr>
              <w:t>20,000</w:t>
            </w:r>
          </w:p>
        </w:tc>
      </w:tr>
      <w:tr w:rsidR="00EE1C68" w:rsidRPr="00AE50B3" w:rsidTr="000452FF">
        <w:trPr>
          <w:trHeight w:val="1263"/>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100,000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1263"/>
          <w:jc w:val="center"/>
        </w:trPr>
        <w:tc>
          <w:tcPr>
            <w:tcW w:w="939" w:type="pct"/>
            <w:vMerge w:val="restart"/>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棕榈油</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50,000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100,000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10,000</w:t>
            </w:r>
            <w:r w:rsidRPr="00AE50B3">
              <w:rPr>
                <w:rFonts w:ascii="仿宋_GB2312" w:eastAsia="仿宋_GB2312" w:hAnsi="宋体" w:cs="宋体"/>
                <w:color w:val="000000"/>
                <w:kern w:val="0"/>
                <w:sz w:val="28"/>
                <w:szCs w:val="28"/>
                <w:shd w:val="pct15" w:color="auto" w:fill="FFFFFF"/>
              </w:rPr>
              <w:t>20,000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5,000</w:t>
            </w:r>
            <w:r w:rsidRPr="00AE50B3">
              <w:rPr>
                <w:rFonts w:ascii="仿宋_GB2312" w:eastAsia="仿宋_GB2312" w:hAnsi="宋体" w:cs="宋体"/>
                <w:color w:val="000000"/>
                <w:kern w:val="0"/>
                <w:sz w:val="28"/>
                <w:szCs w:val="28"/>
                <w:shd w:val="pct15" w:color="auto" w:fill="FFFFFF"/>
              </w:rPr>
              <w:t>10,000</w:t>
            </w:r>
          </w:p>
        </w:tc>
      </w:tr>
      <w:tr w:rsidR="00EE1C68" w:rsidRPr="00AE50B3" w:rsidTr="000452FF">
        <w:trPr>
          <w:trHeight w:val="1263"/>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50,000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100,000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lastRenderedPageBreak/>
              <w:t>线型低密度聚乙烯</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聚氯乙烯</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焦炭</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50,000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50,000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焦煤</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80,000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8,000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8,000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80,000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1263"/>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铁矿石</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宋体" w:cs="宋体"/>
                <w:color w:val="000000"/>
                <w:kern w:val="0"/>
                <w:sz w:val="28"/>
                <w:szCs w:val="28"/>
                <w:shd w:val="pct15" w:color="auto" w:fill="FFFFFF"/>
              </w:rPr>
              <w:t>40,000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宋体" w:cs="宋体"/>
                <w:color w:val="000000"/>
                <w:kern w:val="0"/>
                <w:sz w:val="28"/>
                <w:szCs w:val="28"/>
                <w:shd w:val="pct15" w:color="auto" w:fill="FFFFFF"/>
              </w:rPr>
              <w:t>40,000</w:t>
            </w:r>
          </w:p>
        </w:tc>
      </w:tr>
      <w:tr w:rsidR="00EE1C68" w:rsidRPr="00AE50B3" w:rsidTr="000452FF">
        <w:trPr>
          <w:trHeight w:val="1263"/>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dstrike/>
                <w:color w:val="000000"/>
                <w:kern w:val="0"/>
                <w:sz w:val="28"/>
                <w:szCs w:val="28"/>
              </w:rPr>
              <w:t>单边持仓＞</w:t>
            </w:r>
            <w:r w:rsidRPr="00AE50B3">
              <w:rPr>
                <w:rFonts w:ascii="仿宋_GB2312" w:eastAsia="仿宋_GB2312" w:hAnsi="宋体" w:cs="宋体"/>
                <w:dstrike/>
                <w:color w:val="000000"/>
                <w:kern w:val="0"/>
                <w:sz w:val="28"/>
                <w:szCs w:val="28"/>
              </w:rPr>
              <w:t>200,000</w:t>
            </w:r>
          </w:p>
          <w:p w:rsidR="00EE1C68" w:rsidRPr="00AE50B3" w:rsidRDefault="00EE1C68" w:rsidP="000452FF">
            <w:pPr>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shd w:val="pct15" w:color="auto" w:fill="FFFFFF"/>
              </w:rPr>
              <w:t>单边持仓＞</w:t>
            </w:r>
            <w:r w:rsidRPr="00AE50B3">
              <w:rPr>
                <w:rFonts w:ascii="仿宋_GB2312" w:eastAsia="仿宋_GB2312" w:hAnsi="宋体" w:cs="宋体"/>
                <w:color w:val="000000"/>
                <w:kern w:val="0"/>
                <w:sz w:val="28"/>
                <w:szCs w:val="28"/>
                <w:shd w:val="pct15" w:color="auto" w:fill="FFFFFF"/>
              </w:rPr>
              <w:t>400,000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纤维板</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160,000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16,000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16,000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160,000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胶合板</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60,000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6,000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6,000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60,000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聚丙烯</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200,000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r w:rsidR="00EE1C68" w:rsidRPr="00AE50B3" w:rsidTr="000452FF">
        <w:trPr>
          <w:trHeight w:val="20"/>
          <w:jc w:val="center"/>
        </w:trPr>
        <w:tc>
          <w:tcPr>
            <w:tcW w:w="939" w:type="pct"/>
            <w:vMerge w:val="restar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玉米淀粉</w:t>
            </w: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150,000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15,000</w:t>
            </w:r>
          </w:p>
        </w:tc>
      </w:tr>
      <w:tr w:rsidR="00EE1C68" w:rsidRPr="00AE50B3" w:rsidTr="000452FF">
        <w:trPr>
          <w:trHeight w:val="20"/>
          <w:jc w:val="center"/>
        </w:trPr>
        <w:tc>
          <w:tcPr>
            <w:tcW w:w="939" w:type="pct"/>
            <w:vMerge/>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1578"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150,000</w:t>
            </w:r>
          </w:p>
        </w:tc>
        <w:tc>
          <w:tcPr>
            <w:tcW w:w="1294"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c>
          <w:tcPr>
            <w:tcW w:w="1189" w:type="pct"/>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单边持仓×</w:t>
            </w:r>
            <w:r w:rsidRPr="00AE50B3">
              <w:rPr>
                <w:rFonts w:ascii="仿宋_GB2312" w:eastAsia="仿宋_GB2312" w:hAnsi="宋体" w:cs="宋体"/>
                <w:color w:val="000000"/>
                <w:kern w:val="0"/>
                <w:sz w:val="28"/>
                <w:szCs w:val="28"/>
              </w:rPr>
              <w:t>10%</w:t>
            </w:r>
          </w:p>
        </w:tc>
      </w:tr>
    </w:tbl>
    <w:p w:rsidR="00EE1C68" w:rsidRPr="00AE50B3" w:rsidRDefault="00EE1C68" w:rsidP="00EE1C68">
      <w:pPr>
        <w:widowControl/>
        <w:spacing w:line="580" w:lineRule="exact"/>
        <w:ind w:firstLineChars="200" w:firstLine="640"/>
        <w:jc w:val="left"/>
        <w:rPr>
          <w:rFonts w:ascii="仿宋_GB2312" w:eastAsia="仿宋_GB2312" w:hAnsi="仿宋" w:cs="宋体"/>
          <w:kern w:val="0"/>
          <w:sz w:val="32"/>
          <w:szCs w:val="24"/>
        </w:rPr>
      </w:pPr>
    </w:p>
    <w:p w:rsidR="00EE1C68" w:rsidRPr="00AE50B3" w:rsidRDefault="00EE1C68" w:rsidP="00EE1C68">
      <w:pPr>
        <w:widowControl/>
        <w:spacing w:before="100" w:beforeAutospacing="1" w:after="100" w:afterAutospacing="1" w:line="580" w:lineRule="exact"/>
        <w:ind w:firstLineChars="200" w:firstLine="560"/>
        <w:jc w:val="left"/>
        <w:rPr>
          <w:rFonts w:ascii="仿宋_GB2312" w:eastAsia="仿宋_GB2312" w:hAnsi="仿宋" w:cs="宋体"/>
          <w:kern w:val="0"/>
          <w:sz w:val="28"/>
          <w:szCs w:val="28"/>
        </w:rPr>
      </w:pPr>
      <w:r w:rsidRPr="00AE50B3">
        <w:rPr>
          <w:rFonts w:ascii="仿宋_GB2312" w:eastAsia="仿宋_GB2312" w:hAnsi="仿宋" w:cs="宋体" w:hint="eastAsia"/>
          <w:kern w:val="0"/>
          <w:sz w:val="28"/>
          <w:szCs w:val="28"/>
        </w:rPr>
        <w:t>除鸡蛋品种外，各品种期货合约自交割月份前一个月第十</w:t>
      </w:r>
      <w:r w:rsidRPr="00AE50B3">
        <w:rPr>
          <w:rFonts w:ascii="仿宋_GB2312" w:eastAsia="仿宋_GB2312" w:hAnsi="仿宋" w:cs="宋体" w:hint="eastAsia"/>
          <w:kern w:val="0"/>
          <w:sz w:val="28"/>
          <w:szCs w:val="28"/>
          <w:shd w:val="pct15" w:color="auto" w:fill="FFFFFF"/>
        </w:rPr>
        <w:t>五</w:t>
      </w:r>
      <w:r w:rsidRPr="00AE50B3">
        <w:rPr>
          <w:rFonts w:ascii="仿宋_GB2312" w:eastAsia="仿宋_GB2312" w:hAnsi="仿宋" w:cs="宋体" w:hint="eastAsia"/>
          <w:kern w:val="0"/>
          <w:sz w:val="28"/>
          <w:szCs w:val="28"/>
        </w:rPr>
        <w:t>个交易日至交割月期间非期货公司会员和客户持仓限额见下表，交割月份个人客户持仓限额为</w:t>
      </w:r>
      <w:r w:rsidRPr="00AE50B3">
        <w:rPr>
          <w:rFonts w:ascii="仿宋_GB2312" w:eastAsia="仿宋_GB2312" w:hAnsi="仿宋" w:cs="宋体"/>
          <w:kern w:val="0"/>
          <w:sz w:val="28"/>
          <w:szCs w:val="28"/>
        </w:rPr>
        <w:t>0</w:t>
      </w:r>
      <w:r w:rsidRPr="00AE50B3">
        <w:rPr>
          <w:rFonts w:ascii="仿宋_GB2312" w:eastAsia="仿宋_GB2312" w:hAnsi="仿宋" w:cs="宋体" w:hint="eastAsia"/>
          <w:kern w:val="0"/>
          <w:sz w:val="28"/>
          <w:szCs w:val="28"/>
        </w:rPr>
        <w:t>：（单位：手）</w:t>
      </w:r>
    </w:p>
    <w:tbl>
      <w:tblPr>
        <w:tblW w:w="8935" w:type="dxa"/>
        <w:jc w:val="center"/>
        <w:tblLayout w:type="fixed"/>
        <w:tblLook w:val="04A0" w:firstRow="1" w:lastRow="0" w:firstColumn="1" w:lastColumn="0" w:noHBand="0" w:noVBand="1"/>
      </w:tblPr>
      <w:tblGrid>
        <w:gridCol w:w="1552"/>
        <w:gridCol w:w="3144"/>
        <w:gridCol w:w="2211"/>
        <w:gridCol w:w="2028"/>
      </w:tblGrid>
      <w:tr w:rsidR="00EE1C68" w:rsidRPr="00AE50B3" w:rsidTr="000452FF">
        <w:trPr>
          <w:trHeight w:val="20"/>
          <w:jc w:val="center"/>
        </w:trPr>
        <w:tc>
          <w:tcPr>
            <w:tcW w:w="1552" w:type="dxa"/>
            <w:tcBorders>
              <w:top w:val="single" w:sz="4" w:space="0" w:color="auto"/>
              <w:left w:val="single" w:sz="4" w:space="0" w:color="auto"/>
              <w:bottom w:val="single" w:sz="4" w:space="0" w:color="auto"/>
              <w:right w:val="single" w:sz="4" w:space="0" w:color="auto"/>
            </w:tcBorders>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品种</w:t>
            </w: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时间段</w:t>
            </w:r>
          </w:p>
        </w:tc>
        <w:tc>
          <w:tcPr>
            <w:tcW w:w="2211"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非期货公司会员</w:t>
            </w:r>
          </w:p>
        </w:tc>
        <w:tc>
          <w:tcPr>
            <w:tcW w:w="2028"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客户</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黄大豆</w:t>
            </w:r>
            <w:r w:rsidRPr="00AE50B3">
              <w:rPr>
                <w:rFonts w:ascii="仿宋_GB2312" w:eastAsia="仿宋_GB2312" w:hAnsi="宋体" w:cs="宋体"/>
                <w:color w:val="000000"/>
                <w:kern w:val="0"/>
                <w:sz w:val="28"/>
                <w:szCs w:val="28"/>
              </w:rPr>
              <w:t>1</w:t>
            </w:r>
            <w:r w:rsidRPr="00AE50B3">
              <w:rPr>
                <w:rFonts w:ascii="仿宋_GB2312" w:eastAsia="仿宋_GB2312" w:hAnsi="宋体" w:cs="宋体" w:hint="eastAsia"/>
                <w:color w:val="000000"/>
                <w:kern w:val="0"/>
                <w:sz w:val="28"/>
                <w:szCs w:val="28"/>
              </w:rPr>
              <w:t>号</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黄大豆</w:t>
            </w:r>
            <w:r w:rsidRPr="00AE50B3">
              <w:rPr>
                <w:rFonts w:ascii="仿宋_GB2312" w:eastAsia="仿宋_GB2312" w:hAnsi="宋体" w:cs="宋体"/>
                <w:color w:val="000000"/>
                <w:kern w:val="0"/>
                <w:sz w:val="28"/>
                <w:szCs w:val="28"/>
              </w:rPr>
              <w:t>2</w:t>
            </w:r>
            <w:r w:rsidRPr="00AE50B3">
              <w:rPr>
                <w:rFonts w:ascii="仿宋_GB2312" w:eastAsia="仿宋_GB2312" w:hAnsi="宋体" w:cs="宋体" w:hint="eastAsia"/>
                <w:color w:val="000000"/>
                <w:kern w:val="0"/>
                <w:sz w:val="28"/>
                <w:szCs w:val="28"/>
              </w:rPr>
              <w:t>号</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4,500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豆粕</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10,000</w:t>
            </w:r>
            <w:r w:rsidRPr="00AE50B3">
              <w:rPr>
                <w:rFonts w:ascii="仿宋_GB2312" w:eastAsia="仿宋_GB2312" w:hAnsi="宋体" w:cs="宋体"/>
                <w:color w:val="000000"/>
                <w:kern w:val="0"/>
                <w:sz w:val="28"/>
                <w:szCs w:val="28"/>
                <w:shd w:val="pct15" w:color="auto" w:fill="FFFFFF"/>
              </w:rPr>
              <w:t>15,000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5,000</w:t>
            </w:r>
            <w:r w:rsidRPr="00AE50B3">
              <w:rPr>
                <w:rFonts w:ascii="仿宋_GB2312" w:eastAsia="仿宋_GB2312" w:hAnsi="宋体" w:cs="宋体"/>
                <w:color w:val="000000"/>
                <w:kern w:val="0"/>
                <w:sz w:val="28"/>
                <w:szCs w:val="28"/>
                <w:shd w:val="pct15" w:color="auto" w:fill="FFFFFF"/>
              </w:rPr>
              <w:t>7,500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豆油</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4,000</w:t>
            </w:r>
            <w:r w:rsidRPr="00AE50B3">
              <w:rPr>
                <w:rFonts w:ascii="仿宋_GB2312" w:eastAsia="仿宋_GB2312" w:hAnsi="宋体" w:cs="宋体"/>
                <w:color w:val="000000"/>
                <w:kern w:val="0"/>
                <w:sz w:val="28"/>
                <w:szCs w:val="28"/>
                <w:shd w:val="pct15" w:color="auto" w:fill="FFFFFF"/>
              </w:rPr>
              <w:t>6,000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w:t>
            </w:r>
            <w:r w:rsidRPr="00AE50B3">
              <w:rPr>
                <w:rFonts w:ascii="仿宋_GB2312" w:eastAsia="仿宋_GB2312" w:hAnsi="宋体" w:cs="宋体"/>
                <w:color w:val="000000"/>
                <w:kern w:val="0"/>
                <w:sz w:val="28"/>
                <w:szCs w:val="28"/>
                <w:shd w:val="pct15" w:color="auto" w:fill="FFFFFF"/>
              </w:rPr>
              <w:t>3,000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ind w:leftChars="38" w:left="80"/>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棕榈油</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w:t>
            </w:r>
            <w:r w:rsidRPr="00AE50B3">
              <w:rPr>
                <w:rFonts w:ascii="仿宋_GB2312" w:eastAsia="仿宋_GB2312" w:hAnsi="宋体" w:cs="宋体"/>
                <w:color w:val="000000"/>
                <w:kern w:val="0"/>
                <w:sz w:val="28"/>
                <w:szCs w:val="28"/>
                <w:shd w:val="pct15" w:color="auto" w:fill="FFFFFF"/>
              </w:rPr>
              <w:t>3,000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1,000</w:t>
            </w:r>
            <w:r w:rsidRPr="00AE50B3">
              <w:rPr>
                <w:rFonts w:ascii="仿宋_GB2312" w:eastAsia="仿宋_GB2312" w:hAnsi="宋体" w:cs="宋体"/>
                <w:color w:val="000000"/>
                <w:kern w:val="0"/>
                <w:sz w:val="28"/>
                <w:szCs w:val="28"/>
                <w:shd w:val="pct15" w:color="auto" w:fill="FFFFFF"/>
              </w:rPr>
              <w:t>1,500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noWrap/>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lastRenderedPageBreak/>
              <w:t>玉米</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20,000</w:t>
            </w:r>
            <w:r w:rsidRPr="00AE50B3">
              <w:rPr>
                <w:rFonts w:ascii="仿宋_GB2312" w:eastAsia="仿宋_GB2312" w:hAnsi="宋体" w:cs="宋体"/>
                <w:color w:val="000000"/>
                <w:kern w:val="0"/>
                <w:sz w:val="28"/>
                <w:szCs w:val="28"/>
                <w:shd w:val="pct15" w:color="auto" w:fill="FFFFFF"/>
              </w:rPr>
              <w:t>30,000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10,000</w:t>
            </w:r>
            <w:r w:rsidRPr="00AE50B3">
              <w:rPr>
                <w:rFonts w:ascii="仿宋_GB2312" w:eastAsia="仿宋_GB2312" w:hAnsi="宋体" w:cs="宋体"/>
                <w:color w:val="000000"/>
                <w:kern w:val="0"/>
                <w:sz w:val="28"/>
                <w:szCs w:val="28"/>
                <w:shd w:val="pct15" w:color="auto" w:fill="FFFFFF"/>
              </w:rPr>
              <w:t>15,000</w:t>
            </w:r>
          </w:p>
        </w:tc>
      </w:tr>
      <w:tr w:rsidR="00EE1C68" w:rsidRPr="00AE50B3" w:rsidTr="000452FF">
        <w:trPr>
          <w:trHeight w:val="20"/>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10,000</w:t>
            </w:r>
          </w:p>
        </w:tc>
        <w:tc>
          <w:tcPr>
            <w:tcW w:w="2028"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r>
      <w:tr w:rsidR="00EE1C68" w:rsidRPr="00AE50B3" w:rsidTr="000452FF">
        <w:trPr>
          <w:trHeight w:val="20"/>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线型低密度聚乙烯</w:t>
            </w: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4,000</w:t>
            </w:r>
            <w:r w:rsidRPr="00AE50B3">
              <w:rPr>
                <w:rFonts w:ascii="仿宋_GB2312" w:eastAsia="仿宋_GB2312" w:hAnsi="宋体" w:cs="宋体"/>
                <w:color w:val="000000"/>
                <w:kern w:val="0"/>
                <w:sz w:val="28"/>
                <w:szCs w:val="28"/>
                <w:shd w:val="pct15" w:color="auto" w:fill="FFFFFF"/>
              </w:rPr>
              <w:t>6,000</w:t>
            </w:r>
          </w:p>
        </w:tc>
        <w:tc>
          <w:tcPr>
            <w:tcW w:w="2028"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dstrike/>
                <w:color w:val="000000"/>
                <w:kern w:val="0"/>
                <w:sz w:val="28"/>
                <w:szCs w:val="28"/>
              </w:rPr>
              <w:t>2,000</w:t>
            </w:r>
            <w:r w:rsidRPr="00AE50B3">
              <w:rPr>
                <w:rFonts w:ascii="仿宋_GB2312" w:eastAsia="仿宋_GB2312" w:hAnsi="宋体" w:cs="宋体"/>
                <w:color w:val="000000"/>
                <w:kern w:val="0"/>
                <w:sz w:val="28"/>
                <w:szCs w:val="28"/>
                <w:shd w:val="pct15" w:color="auto" w:fill="FFFFFF"/>
              </w:rPr>
              <w:t>3,000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w:t>
            </w:r>
          </w:p>
        </w:tc>
      </w:tr>
      <w:tr w:rsidR="00EE1C68" w:rsidRPr="00AE50B3" w:rsidTr="000452FF">
        <w:trPr>
          <w:trHeight w:val="20"/>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聚氯乙烯</w:t>
            </w: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10,000</w:t>
            </w:r>
          </w:p>
        </w:tc>
        <w:tc>
          <w:tcPr>
            <w:tcW w:w="2028"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焦炭</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900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900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300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300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焦煤</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铁矿石</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6,000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6,000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纤维板</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100</w:t>
            </w:r>
          </w:p>
        </w:tc>
      </w:tr>
      <w:tr w:rsidR="00EE1C68" w:rsidRPr="00AE50B3" w:rsidTr="000452FF">
        <w:trPr>
          <w:trHeight w:val="20"/>
          <w:jc w:val="center"/>
        </w:trPr>
        <w:tc>
          <w:tcPr>
            <w:tcW w:w="1552" w:type="dxa"/>
            <w:vMerge w:val="restart"/>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lastRenderedPageBreak/>
              <w:t>胶合板</w:t>
            </w: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80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80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20</w:t>
            </w:r>
          </w:p>
        </w:tc>
      </w:tr>
      <w:tr w:rsidR="00EE1C68" w:rsidRPr="00AE50B3" w:rsidTr="000452FF">
        <w:trPr>
          <w:trHeight w:val="20"/>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聚丙烯</w:t>
            </w: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c>
          <w:tcPr>
            <w:tcW w:w="2028"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5,000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2,500</w:t>
            </w:r>
          </w:p>
        </w:tc>
      </w:tr>
      <w:tr w:rsidR="00EE1C68" w:rsidRPr="00AE50B3" w:rsidTr="000452FF">
        <w:trPr>
          <w:trHeight w:val="20"/>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玉米淀粉</w:t>
            </w:r>
          </w:p>
        </w:tc>
        <w:tc>
          <w:tcPr>
            <w:tcW w:w="3144" w:type="dxa"/>
            <w:tcBorders>
              <w:top w:val="single" w:sz="4" w:space="0" w:color="auto"/>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交割月前一个月第十</w:t>
            </w:r>
            <w:r w:rsidRPr="00AE50B3">
              <w:rPr>
                <w:rFonts w:ascii="仿宋_GB2312" w:eastAsia="仿宋_GB2312" w:hAnsi="宋体" w:cs="宋体" w:hint="eastAsia"/>
                <w:color w:val="000000"/>
                <w:kern w:val="0"/>
                <w:sz w:val="28"/>
                <w:szCs w:val="28"/>
                <w:shd w:val="pct15" w:color="auto" w:fill="FFFFFF"/>
              </w:rPr>
              <w:t>五</w:t>
            </w:r>
            <w:r w:rsidRPr="00AE50B3">
              <w:rPr>
                <w:rFonts w:ascii="仿宋_GB2312" w:eastAsia="仿宋_GB2312" w:hAnsi="宋体" w:cs="宋体" w:hint="eastAsia"/>
                <w:color w:val="000000"/>
                <w:kern w:val="0"/>
                <w:sz w:val="28"/>
                <w:szCs w:val="28"/>
              </w:rPr>
              <w:t>个交易日起</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4,500</w:t>
            </w:r>
          </w:p>
        </w:tc>
      </w:tr>
      <w:tr w:rsidR="00EE1C68" w:rsidRPr="00AE50B3" w:rsidTr="000452FF">
        <w:trPr>
          <w:trHeight w:val="20"/>
          <w:jc w:val="center"/>
        </w:trPr>
        <w:tc>
          <w:tcPr>
            <w:tcW w:w="1552" w:type="dxa"/>
            <w:vMerge/>
            <w:tcBorders>
              <w:top w:val="nil"/>
              <w:left w:val="single" w:sz="4" w:space="0" w:color="auto"/>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p>
        </w:tc>
        <w:tc>
          <w:tcPr>
            <w:tcW w:w="3144"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hint="eastAsia"/>
                <w:color w:val="000000"/>
                <w:kern w:val="0"/>
                <w:sz w:val="28"/>
                <w:szCs w:val="28"/>
              </w:rPr>
              <w:t>交割月份</w:t>
            </w:r>
          </w:p>
        </w:tc>
        <w:tc>
          <w:tcPr>
            <w:tcW w:w="2211"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c>
          <w:tcPr>
            <w:tcW w:w="2028" w:type="dxa"/>
            <w:tcBorders>
              <w:top w:val="nil"/>
              <w:left w:val="nil"/>
              <w:bottom w:val="single" w:sz="4" w:space="0" w:color="auto"/>
              <w:right w:val="single" w:sz="4" w:space="0" w:color="auto"/>
            </w:tcBorders>
            <w:vAlign w:val="center"/>
            <w:hideMark/>
          </w:tcPr>
          <w:p w:rsidR="00EE1C68" w:rsidRPr="00AE50B3" w:rsidRDefault="00EE1C68" w:rsidP="000452FF">
            <w:pPr>
              <w:widowControl/>
              <w:jc w:val="left"/>
              <w:rPr>
                <w:rFonts w:ascii="仿宋_GB2312" w:eastAsia="仿宋_GB2312" w:hAnsi="宋体" w:cs="宋体"/>
                <w:color w:val="000000"/>
                <w:kern w:val="0"/>
                <w:sz w:val="28"/>
                <w:szCs w:val="28"/>
              </w:rPr>
            </w:pPr>
            <w:r w:rsidRPr="00AE50B3">
              <w:rPr>
                <w:rFonts w:ascii="仿宋_GB2312" w:eastAsia="仿宋_GB2312" w:hAnsi="宋体" w:cs="宋体"/>
                <w:color w:val="000000"/>
                <w:kern w:val="0"/>
                <w:sz w:val="28"/>
                <w:szCs w:val="28"/>
              </w:rPr>
              <w:t>1,500</w:t>
            </w:r>
          </w:p>
        </w:tc>
      </w:tr>
    </w:tbl>
    <w:p w:rsidR="00EE1C68" w:rsidRPr="00AE50B3" w:rsidRDefault="00EE1C68" w:rsidP="00EE1C68">
      <w:pPr>
        <w:widowControl/>
        <w:spacing w:line="360" w:lineRule="auto"/>
        <w:jc w:val="left"/>
        <w:rPr>
          <w:rFonts w:ascii="仿宋_GB2312" w:eastAsia="仿宋_GB2312" w:hAnsi="Times New Roman"/>
          <w:color w:val="000000"/>
          <w:kern w:val="0"/>
          <w:sz w:val="24"/>
          <w:szCs w:val="24"/>
        </w:rPr>
      </w:pPr>
      <w:r w:rsidRPr="00AE50B3">
        <w:rPr>
          <w:rFonts w:ascii="仿宋_GB2312" w:eastAsia="仿宋_GB2312" w:hAnsi="Times New Roman" w:hint="eastAsia"/>
          <w:color w:val="000000"/>
          <w:kern w:val="0"/>
          <w:sz w:val="24"/>
          <w:szCs w:val="24"/>
        </w:rPr>
        <w:t>……</w:t>
      </w:r>
    </w:p>
    <w:p w:rsidR="00EE1C68" w:rsidRPr="00AE50B3" w:rsidRDefault="00EE1C68" w:rsidP="00EE1C68">
      <w:pPr>
        <w:widowControl/>
        <w:spacing w:line="360" w:lineRule="auto"/>
        <w:jc w:val="left"/>
        <w:rPr>
          <w:rFonts w:ascii="仿宋_GB2312" w:eastAsia="仿宋_GB2312" w:hAnsi="Times New Roman"/>
          <w:color w:val="000000"/>
          <w:kern w:val="0"/>
          <w:sz w:val="24"/>
          <w:szCs w:val="24"/>
        </w:rPr>
      </w:pPr>
    </w:p>
    <w:p w:rsidR="00EE1C68" w:rsidRPr="00AE50B3" w:rsidRDefault="00EE1C68" w:rsidP="00EE1C68">
      <w:pPr>
        <w:widowControl/>
        <w:spacing w:line="360" w:lineRule="auto"/>
        <w:jc w:val="left"/>
        <w:rPr>
          <w:rFonts w:ascii="仿宋_GB2312" w:eastAsia="仿宋_GB2312" w:hAnsi="Times New Roman"/>
          <w:color w:val="000000"/>
          <w:kern w:val="0"/>
          <w:sz w:val="24"/>
          <w:szCs w:val="24"/>
        </w:rPr>
        <w:sectPr w:rsidR="00EE1C68" w:rsidRPr="00AE50B3" w:rsidSect="007C00C4">
          <w:pgSz w:w="11906" w:h="16838"/>
          <w:pgMar w:top="1440" w:right="1800" w:bottom="1440" w:left="1800" w:header="851" w:footer="992" w:gutter="0"/>
          <w:cols w:space="425"/>
          <w:docGrid w:type="lines" w:linePitch="312"/>
        </w:sectPr>
      </w:pPr>
      <w:r w:rsidRPr="00AE50B3">
        <w:rPr>
          <w:rFonts w:ascii="仿宋_GB2312" w:eastAsia="仿宋_GB2312" w:hAnsi="Times New Roman" w:hint="eastAsia"/>
          <w:color w:val="000000"/>
          <w:kern w:val="0"/>
          <w:sz w:val="24"/>
          <w:szCs w:val="24"/>
        </w:rPr>
        <w:t>注：阴影部分为新增内容，双划线部分为删除内容，“……”（省略号）含义为该条款未修改的其他内容。</w:t>
      </w:r>
    </w:p>
    <w:p w:rsidR="00EE1C68" w:rsidRPr="00AE50B3" w:rsidRDefault="00EE1C68" w:rsidP="00EE1C68">
      <w:pPr>
        <w:widowControl/>
        <w:spacing w:line="560" w:lineRule="exact"/>
        <w:jc w:val="center"/>
        <w:rPr>
          <w:rFonts w:ascii="宋体" w:hAnsi="宋体"/>
          <w:b/>
          <w:color w:val="000000"/>
          <w:kern w:val="0"/>
          <w:sz w:val="44"/>
          <w:szCs w:val="44"/>
        </w:rPr>
      </w:pPr>
    </w:p>
    <w:p w:rsidR="00EE1C68" w:rsidRPr="00AE50B3" w:rsidRDefault="00EE1C68" w:rsidP="00EE1C68">
      <w:pPr>
        <w:widowControl/>
        <w:spacing w:line="560" w:lineRule="exact"/>
        <w:jc w:val="center"/>
        <w:rPr>
          <w:rFonts w:ascii="宋体" w:hAnsi="宋体"/>
          <w:b/>
          <w:color w:val="000000"/>
          <w:kern w:val="0"/>
          <w:sz w:val="44"/>
          <w:szCs w:val="44"/>
        </w:rPr>
      </w:pPr>
    </w:p>
    <w:p w:rsidR="00EE1C68" w:rsidRPr="00AE50B3" w:rsidRDefault="00EE1C68" w:rsidP="00EE1C68">
      <w:pPr>
        <w:widowControl/>
        <w:spacing w:line="560" w:lineRule="exact"/>
        <w:jc w:val="center"/>
        <w:rPr>
          <w:rFonts w:ascii="宋体" w:hAnsi="宋体"/>
          <w:b/>
          <w:color w:val="000000"/>
          <w:kern w:val="0"/>
          <w:sz w:val="44"/>
          <w:szCs w:val="44"/>
        </w:rPr>
      </w:pPr>
      <w:r w:rsidRPr="00AE50B3">
        <w:rPr>
          <w:rFonts w:ascii="宋体" w:hAnsi="宋体" w:hint="eastAsia"/>
          <w:b/>
          <w:color w:val="000000"/>
          <w:kern w:val="0"/>
          <w:sz w:val="44"/>
          <w:szCs w:val="44"/>
        </w:rPr>
        <w:t>《大连商品交易所风险管理办法》</w:t>
      </w:r>
    </w:p>
    <w:p w:rsidR="00EE1C68" w:rsidRPr="00AE50B3" w:rsidRDefault="00EE1C68" w:rsidP="00EE1C68">
      <w:pPr>
        <w:widowControl/>
        <w:spacing w:line="560" w:lineRule="exact"/>
        <w:jc w:val="center"/>
        <w:rPr>
          <w:rFonts w:ascii="Times New Roman" w:eastAsia="仿宋_GB2312" w:hAnsi="Times New Roman"/>
          <w:color w:val="000000"/>
          <w:kern w:val="0"/>
          <w:sz w:val="32"/>
          <w:szCs w:val="32"/>
        </w:rPr>
      </w:pPr>
      <w:r w:rsidRPr="00AE50B3">
        <w:rPr>
          <w:rFonts w:ascii="宋体" w:hAnsi="宋体" w:hint="eastAsia"/>
          <w:b/>
          <w:color w:val="000000"/>
          <w:kern w:val="0"/>
          <w:sz w:val="44"/>
          <w:szCs w:val="44"/>
        </w:rPr>
        <w:t>（修订稿）</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第一章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总则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为了加强期货交易风险管理，维护期货交易各方的合法权益，保证大连商品交易所</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以下简称交易所</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期货交易正常的进行，根据《大连商品交易所交易规则》，制定本办法。</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交易所风险管理实行保证金制度、涨跌停板制度、限仓制度、交易限额制度、大户报告制度、强行平仓制度和风险警示制度。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会员、境外经纪机构和客户必须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保证金制度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交易所实行保证金制度。黄大豆</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号、黄大豆</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号、豆粕、豆油、棕榈油、玉米、线型低密度聚乙烯、聚氯乙烯、焦炭、焦煤、铁矿石、鸡蛋、纤维板、胶合板、聚丙烯、玉米淀粉期货合约的最低交易保证金为合约价值的</w:t>
      </w:r>
      <w:r w:rsidRPr="00AE50B3">
        <w:rPr>
          <w:rFonts w:ascii="仿宋_GB2312" w:eastAsia="仿宋_GB2312" w:hAnsi="微软雅黑" w:cs="宋体"/>
          <w:color w:val="333333"/>
          <w:kern w:val="0"/>
          <w:sz w:val="28"/>
          <w:szCs w:val="28"/>
        </w:rPr>
        <w:t>5%</w:t>
      </w:r>
      <w:r w:rsidRPr="00AE50B3">
        <w:rPr>
          <w:rFonts w:ascii="仿宋_GB2312" w:eastAsia="仿宋_GB2312" w:hAnsi="微软雅黑" w:cs="宋体" w:hint="eastAsia"/>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新开仓交易保证金按前一交易日结算时交易保证金收取。</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交易所可以根据市场情况调整各合约交易保证金标准。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第五条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自交易所上市的商品期货合约进入交割月份前一个月第十五个交易日起，交易所将分时间段逐步提高该合约的交易保证金。合约在某一交易时间段的交易保证金标准自该交易时间段起始日前一交易日结算时起执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交易所上市的商品期货合约临近交割期时交易保证金收取标准为：</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15"/>
        <w:gridCol w:w="2395"/>
      </w:tblGrid>
      <w:tr w:rsidR="00EE1C68" w:rsidRPr="00AE50B3" w:rsidTr="000452FF">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交易时间段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交易保证金</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元</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手</w:t>
            </w:r>
            <w:r w:rsidRPr="00AE50B3">
              <w:rPr>
                <w:rFonts w:ascii="仿宋_GB2312" w:eastAsia="仿宋_GB2312" w:hAnsi="微软雅黑" w:cs="宋体"/>
                <w:color w:val="333333"/>
                <w:kern w:val="0"/>
                <w:sz w:val="28"/>
                <w:szCs w:val="28"/>
              </w:rPr>
              <w:t>)</w:t>
            </w:r>
          </w:p>
        </w:tc>
      </w:tr>
      <w:tr w:rsidR="00EE1C68" w:rsidRPr="00AE50B3" w:rsidTr="000452FF">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交割月份前一个月第十五个交易日</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合约价值的</w:t>
            </w:r>
            <w:r w:rsidRPr="00AE50B3">
              <w:rPr>
                <w:rFonts w:ascii="仿宋_GB2312" w:eastAsia="仿宋_GB2312" w:hAnsi="微软雅黑" w:cs="宋体"/>
                <w:color w:val="333333"/>
                <w:kern w:val="0"/>
                <w:sz w:val="28"/>
                <w:szCs w:val="28"/>
              </w:rPr>
              <w:t>10%</w:t>
            </w:r>
          </w:p>
        </w:tc>
      </w:tr>
      <w:tr w:rsidR="00EE1C68" w:rsidRPr="00AE50B3" w:rsidTr="000452FF">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交割月份第一个交易日</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合约价值的</w:t>
            </w:r>
            <w:r w:rsidRPr="00AE50B3">
              <w:rPr>
                <w:rFonts w:ascii="仿宋_GB2312" w:eastAsia="仿宋_GB2312" w:hAnsi="微软雅黑" w:cs="宋体"/>
                <w:color w:val="333333"/>
                <w:kern w:val="0"/>
                <w:sz w:val="28"/>
                <w:szCs w:val="28"/>
              </w:rPr>
              <w:t>20%</w:t>
            </w:r>
          </w:p>
        </w:tc>
      </w:tr>
    </w:tbl>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第六条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交易所可根据合约持仓量的增加提高交易保证金标准，并向市场公布。</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第七条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当某期货合约出现涨跌停板的情况，则该期货合约的交易保证金按本办法第三章的有关规定执行。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第八条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当某期货合约连续三个交易日按结算价计算的涨（跌）幅之和达到合约规定的最大涨跌幅的</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倍，连续四个交易日按结算价计算的涨（跌）幅之和达到合约规定的最大涨跌幅的</w:t>
      </w:r>
      <w:r w:rsidRPr="00AE50B3">
        <w:rPr>
          <w:rFonts w:ascii="仿宋_GB2312" w:eastAsia="仿宋_GB2312" w:hAnsi="微软雅黑" w:cs="宋体"/>
          <w:color w:val="333333"/>
          <w:kern w:val="0"/>
          <w:sz w:val="28"/>
          <w:szCs w:val="28"/>
        </w:rPr>
        <w:t>2.5</w:t>
      </w:r>
      <w:r w:rsidRPr="00AE50B3">
        <w:rPr>
          <w:rFonts w:ascii="仿宋_GB2312" w:eastAsia="仿宋_GB2312" w:hAnsi="微软雅黑" w:cs="宋体" w:hint="eastAsia"/>
          <w:color w:val="333333"/>
          <w:kern w:val="0"/>
          <w:sz w:val="28"/>
          <w:szCs w:val="28"/>
        </w:rPr>
        <w:t>倍，连续五个交易日按结算价计算的涨（跌）幅之和达到合约规定的最大涨跌幅的</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倍时，交易所有权根据市场情况，采取单边或双边、同比例或不同比例、部分会员或全部会员提高交易保证金的措施。提高交易保证金的幅度不高于合约规定交易保证金的</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交易所采取上述措施须事先报告中国证监会。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第九条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如遇法定节假日休市时间较长，交易所可以根据市场情况在休市前调整合约交易保证金标准和涨跌停板幅度。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对同时满足本办法有关调整交易保证金规定的合约，其交易保证金按照规定交易保证金数值中的较大值收取。</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涨跌停板制度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交易所实行价格涨跌停板制度，由交易所制定各期货合约的每日最大价格波动幅度。交易所可以根据市场情况调整各合约涨跌停板幅度。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对同时满足本办法有关调整涨跌停板幅度规定的合约，其涨跌停板幅度按照规定涨跌停板幅度数值中的较大值确定。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黄大豆</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号、黄大豆</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号、豆粕、豆油、棕榈油、玉米、线型低密度聚乙烯、聚氯乙烯、焦炭、焦煤、铁矿石、鸡蛋、纤维板、胶合板、聚丙烯、玉米淀粉合约交割月份以前的月份涨跌停板幅度为上一交易日结算价的</w:t>
      </w:r>
      <w:r w:rsidRPr="00AE50B3">
        <w:rPr>
          <w:rFonts w:ascii="仿宋_GB2312" w:eastAsia="仿宋_GB2312" w:hAnsi="微软雅黑" w:cs="宋体"/>
          <w:color w:val="333333"/>
          <w:kern w:val="0"/>
          <w:sz w:val="28"/>
          <w:szCs w:val="28"/>
        </w:rPr>
        <w:t>4%</w:t>
      </w:r>
      <w:r w:rsidRPr="00AE50B3">
        <w:rPr>
          <w:rFonts w:ascii="仿宋_GB2312" w:eastAsia="仿宋_GB2312" w:hAnsi="微软雅黑" w:cs="宋体" w:hint="eastAsia"/>
          <w:color w:val="333333"/>
          <w:kern w:val="0"/>
          <w:sz w:val="28"/>
          <w:szCs w:val="28"/>
        </w:rPr>
        <w:t>，交割月份的涨跌停板幅度为上一交易日结算价的</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当某期货合约以涨跌停板价格申报时，成交撮合原则实行平仓优先和时间优先的原则。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第十四条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涨</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跌</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停板单边无连续报价是指某一期货合约在某一交易日收市前</w:t>
      </w:r>
      <w:r w:rsidRPr="00AE50B3">
        <w:rPr>
          <w:rFonts w:ascii="仿宋_GB2312" w:eastAsia="仿宋_GB2312" w:hAnsi="微软雅黑" w:cs="宋体"/>
          <w:color w:val="333333"/>
          <w:kern w:val="0"/>
          <w:sz w:val="28"/>
          <w:szCs w:val="28"/>
        </w:rPr>
        <w:t>5</w:t>
      </w:r>
      <w:r w:rsidRPr="00AE50B3">
        <w:rPr>
          <w:rFonts w:ascii="仿宋_GB2312" w:eastAsia="仿宋_GB2312" w:hAnsi="微软雅黑" w:cs="宋体" w:hint="eastAsia"/>
          <w:color w:val="333333"/>
          <w:kern w:val="0"/>
          <w:sz w:val="28"/>
          <w:szCs w:val="28"/>
        </w:rPr>
        <w:t>分钟内出现只有停板价位的买入</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卖出</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申报、没有停板价位的卖出</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买入</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申报</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或者一有卖出</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买入</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申报就成交、但未打开停板价位的情况。</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第十五条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当交易所上市的商品期货合约在某一交易日（该交易日记为第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个交易日，之后第</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个、第</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个、第</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个交易日分别记为第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、第</w:t>
      </w:r>
      <w:r w:rsidRPr="00AE50B3">
        <w:rPr>
          <w:rFonts w:ascii="仿宋_GB2312" w:eastAsia="仿宋_GB2312" w:hAnsi="微软雅黑" w:cs="宋体"/>
          <w:color w:val="333333"/>
          <w:kern w:val="0"/>
          <w:sz w:val="28"/>
          <w:szCs w:val="28"/>
        </w:rPr>
        <w:t>N+3</w:t>
      </w:r>
      <w:r w:rsidRPr="00AE50B3">
        <w:rPr>
          <w:rFonts w:ascii="仿宋_GB2312" w:eastAsia="仿宋_GB2312" w:hAnsi="微软雅黑" w:cs="宋体" w:hint="eastAsia"/>
          <w:color w:val="333333"/>
          <w:kern w:val="0"/>
          <w:sz w:val="28"/>
          <w:szCs w:val="28"/>
        </w:rPr>
        <w:t>个交易日，以此类推）出现涨跌停板单边无连续报价的情况，则该合约第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个交易日涨跌停板幅度在第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个交易日涨跌停板幅度的基础上增加</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个百分点（例，如果第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个交易日涨跌停板幅度为前一交易日结算价的</w:t>
      </w:r>
      <w:r w:rsidRPr="00AE50B3">
        <w:rPr>
          <w:rFonts w:ascii="仿宋_GB2312" w:eastAsia="仿宋_GB2312" w:hAnsi="微软雅黑" w:cs="宋体"/>
          <w:color w:val="333333"/>
          <w:kern w:val="0"/>
          <w:sz w:val="28"/>
          <w:szCs w:val="28"/>
        </w:rPr>
        <w:t>4%</w:t>
      </w:r>
      <w:r w:rsidRPr="00AE50B3">
        <w:rPr>
          <w:rFonts w:ascii="仿宋_GB2312" w:eastAsia="仿宋_GB2312" w:hAnsi="微软雅黑" w:cs="宋体" w:hint="eastAsia"/>
          <w:color w:val="333333"/>
          <w:kern w:val="0"/>
          <w:sz w:val="28"/>
          <w:szCs w:val="28"/>
        </w:rPr>
        <w:t>，则第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个交易日涨跌停板幅度则为第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，下同）。第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个交易日结算时，该合约交易保证金标准为在第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个交易日涨跌停板幅度的基础上增加</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个百分点（例，如果第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个交易日涨跌停板幅度为第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，则第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个交易日结算时，该合约保证金标准为合约价值的</w:t>
      </w:r>
      <w:r w:rsidRPr="00AE50B3">
        <w:rPr>
          <w:rFonts w:ascii="仿宋_GB2312" w:eastAsia="仿宋_GB2312" w:hAnsi="微软雅黑" w:cs="宋体"/>
          <w:color w:val="333333"/>
          <w:kern w:val="0"/>
          <w:sz w:val="28"/>
          <w:szCs w:val="28"/>
        </w:rPr>
        <w:t>9%</w:t>
      </w:r>
      <w:r w:rsidRPr="00AE50B3">
        <w:rPr>
          <w:rFonts w:ascii="仿宋_GB2312" w:eastAsia="仿宋_GB2312" w:hAnsi="微软雅黑" w:cs="宋体" w:hint="eastAsia"/>
          <w:color w:val="333333"/>
          <w:kern w:val="0"/>
          <w:sz w:val="28"/>
          <w:szCs w:val="28"/>
        </w:rPr>
        <w:t>，下同）。若该合约调整后的交易保证金标准低于第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个交易日前一交易日结算时的交易保证金标准，则按第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个交易日前一交易日结算时该合约交易保证金标准收取；若第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个交易日为该合约上市挂盘后第</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个交易日，则该合约上市挂盘当日交易保证金标准视为该合约第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个交易日前一交易日结算时的交易保证金标准。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个交易日出现与第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个交易日同方向涨跌停板单边无连续报价的情况，则该合约第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个交易日涨跌停板幅度在第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个交易日涨跌停板幅度的基础上增加</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个百分点。第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个交易日结算</w:t>
      </w:r>
      <w:r w:rsidRPr="00AE50B3">
        <w:rPr>
          <w:rFonts w:ascii="仿宋_GB2312" w:eastAsia="仿宋_GB2312" w:hAnsi="微软雅黑" w:cs="宋体" w:hint="eastAsia"/>
          <w:color w:val="333333"/>
          <w:kern w:val="0"/>
          <w:sz w:val="28"/>
          <w:szCs w:val="28"/>
        </w:rPr>
        <w:lastRenderedPageBreak/>
        <w:t>时，该合约交易保证金标准为在第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个交易日涨跌停板幅度的基础上增加</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个百分点。若该合约调整后的交易保证金标准低于第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个交易日结算时的交易保证金标准，则按第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个交易日结算时该合约的交易保证金标准收取。</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个及以后交易日出现与第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个交易日同方向涨跌停板单边无连续报价情况，则从第</w:t>
      </w:r>
      <w:r w:rsidRPr="00AE50B3">
        <w:rPr>
          <w:rFonts w:ascii="仿宋_GB2312" w:eastAsia="仿宋_GB2312" w:hAnsi="微软雅黑" w:cs="宋体"/>
          <w:color w:val="333333"/>
          <w:kern w:val="0"/>
          <w:sz w:val="28"/>
          <w:szCs w:val="28"/>
        </w:rPr>
        <w:t>N+3</w:t>
      </w:r>
      <w:r w:rsidRPr="00AE50B3">
        <w:rPr>
          <w:rFonts w:ascii="仿宋_GB2312" w:eastAsia="仿宋_GB2312" w:hAnsi="微软雅黑" w:cs="宋体" w:hint="eastAsia"/>
          <w:color w:val="333333"/>
          <w:kern w:val="0"/>
          <w:sz w:val="28"/>
          <w:szCs w:val="28"/>
        </w:rPr>
        <w:t>个交易日开始，涨跌停板幅度和交易保证金标准与第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个交易日一致，直至合约不再出现同方向涨跌停板单边无连续报价的情况。</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第十六条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个及以后交易日出现与前一交易日反方向涨跌停板单边无连续报价的情况，则该交易日视为第</w:t>
      </w:r>
      <w:r w:rsidRPr="00AE50B3">
        <w:rPr>
          <w:rFonts w:ascii="仿宋_GB2312" w:eastAsia="仿宋_GB2312" w:hAnsi="微软雅黑" w:cs="宋体"/>
          <w:color w:val="333333"/>
          <w:kern w:val="0"/>
          <w:sz w:val="28"/>
          <w:szCs w:val="28"/>
        </w:rPr>
        <w:t>N</w:t>
      </w:r>
      <w:r w:rsidRPr="00AE50B3">
        <w:rPr>
          <w:rFonts w:ascii="仿宋_GB2312" w:eastAsia="仿宋_GB2312" w:hAnsi="微软雅黑" w:cs="宋体" w:hint="eastAsia"/>
          <w:color w:val="333333"/>
          <w:kern w:val="0"/>
          <w:sz w:val="28"/>
          <w:szCs w:val="28"/>
        </w:rPr>
        <w:t>个交易日。</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第十七条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当第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个及以后交易日未出现涨跌停板单边无连续报价的情况，则该交易日结算时交易保证金恢复到正常水平，下一交易日的涨跌停板幅度恢复到正常水平。</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第十八条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若某期货合约在第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个交易日出现与第</w:t>
      </w:r>
      <w:r w:rsidRPr="00AE50B3">
        <w:rPr>
          <w:rFonts w:ascii="仿宋_GB2312" w:eastAsia="仿宋_GB2312" w:hAnsi="微软雅黑" w:cs="宋体"/>
          <w:color w:val="333333"/>
          <w:kern w:val="0"/>
          <w:sz w:val="28"/>
          <w:szCs w:val="28"/>
        </w:rPr>
        <w:t>N+1</w:t>
      </w:r>
      <w:r w:rsidRPr="00AE50B3">
        <w:rPr>
          <w:rFonts w:ascii="仿宋_GB2312" w:eastAsia="仿宋_GB2312" w:hAnsi="微软雅黑" w:cs="宋体" w:hint="eastAsia"/>
          <w:color w:val="333333"/>
          <w:kern w:val="0"/>
          <w:sz w:val="28"/>
          <w:szCs w:val="28"/>
        </w:rPr>
        <w:t>个交易日同方向涨跌停板单边无连续报价的情况时，若第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个交易日是该期货合约的最后交易日，则该合约直接进入交割；若第</w:t>
      </w:r>
      <w:r w:rsidRPr="00AE50B3">
        <w:rPr>
          <w:rFonts w:ascii="仿宋_GB2312" w:eastAsia="仿宋_GB2312" w:hAnsi="微软雅黑" w:cs="宋体"/>
          <w:color w:val="333333"/>
          <w:kern w:val="0"/>
          <w:sz w:val="28"/>
          <w:szCs w:val="28"/>
        </w:rPr>
        <w:t>N+3</w:t>
      </w:r>
      <w:r w:rsidRPr="00AE50B3">
        <w:rPr>
          <w:rFonts w:ascii="仿宋_GB2312" w:eastAsia="仿宋_GB2312" w:hAnsi="微软雅黑" w:cs="宋体" w:hint="eastAsia"/>
          <w:color w:val="333333"/>
          <w:kern w:val="0"/>
          <w:sz w:val="28"/>
          <w:szCs w:val="28"/>
        </w:rPr>
        <w:t>个交易日是该期货合约的最后交易日，则第</w:t>
      </w:r>
      <w:r w:rsidRPr="00AE50B3">
        <w:rPr>
          <w:rFonts w:ascii="仿宋_GB2312" w:eastAsia="仿宋_GB2312" w:hAnsi="微软雅黑" w:cs="宋体"/>
          <w:color w:val="333333"/>
          <w:kern w:val="0"/>
          <w:sz w:val="28"/>
          <w:szCs w:val="28"/>
        </w:rPr>
        <w:t>N+3</w:t>
      </w:r>
      <w:r w:rsidRPr="00AE50B3">
        <w:rPr>
          <w:rFonts w:ascii="仿宋_GB2312" w:eastAsia="仿宋_GB2312" w:hAnsi="微软雅黑" w:cs="宋体" w:hint="eastAsia"/>
          <w:color w:val="333333"/>
          <w:kern w:val="0"/>
          <w:sz w:val="28"/>
          <w:szCs w:val="28"/>
        </w:rPr>
        <w:t>个交易日该合约按第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个交易日的涨跌停板和保证金水平继续交易。除上述两种情况之外，交易所可在第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个交易日收市后决定并公告，对该合约实施下列措施中的一种或多种化解市场风险：</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（一）单边或双边、同比例或不同比例、部分会员或全部会员提高交易保证金；</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（二）调整涨跌停板幅度；</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（三）暂停部分会员或全部会员开新仓；</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（四）限制出金；</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（五）限期平仓；</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（六）强行平仓；</w:t>
      </w:r>
    </w:p>
    <w:p w:rsidR="00EE1C68" w:rsidRPr="00AE50B3" w:rsidRDefault="00EE1C68" w:rsidP="00EE1C68">
      <w:pPr>
        <w:widowControl/>
        <w:shd w:val="clear" w:color="auto" w:fill="FFFFFF"/>
        <w:ind w:firstLineChars="200" w:firstLine="560"/>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（七）在第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个交易日收市后强制减仓。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第十九条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强制减仓是指交易所将当日以涨跌停板价申报的未成交平仓报单</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以当日涨跌停板价与该合约净持仓盈利客户</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或非期货公司会员，下同</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按持仓比例自动撮合成交。同一客户持有双向头寸</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则其净持仓部分的平仓报单参与强制减仓计算，其余平仓报单与其对锁持仓自动对冲。具体强制减仓方法如下：</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（一）申报平仓数量的确定</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在第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个交易日收市后</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已在计算机系统中以涨跌停板价申报无法成交的、且客户合约的单位净持仓亏损大于或等于第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5%</w:t>
      </w:r>
      <w:r w:rsidRPr="00AE50B3">
        <w:rPr>
          <w:rFonts w:ascii="仿宋_GB2312" w:eastAsia="仿宋_GB2312" w:hAnsi="微软雅黑" w:cs="宋体" w:hint="eastAsia"/>
          <w:color w:val="333333"/>
          <w:kern w:val="0"/>
          <w:sz w:val="28"/>
          <w:szCs w:val="28"/>
        </w:rPr>
        <w:t>（棕榈油合约标准为</w:t>
      </w:r>
      <w:r w:rsidRPr="00AE50B3">
        <w:rPr>
          <w:rFonts w:ascii="仿宋_GB2312" w:eastAsia="仿宋_GB2312" w:hAnsi="微软雅黑" w:cs="宋体"/>
          <w:color w:val="333333"/>
          <w:kern w:val="0"/>
          <w:sz w:val="28"/>
          <w:szCs w:val="28"/>
        </w:rPr>
        <w:t>4%</w:t>
      </w:r>
      <w:r w:rsidRPr="00AE50B3">
        <w:rPr>
          <w:rFonts w:ascii="仿宋_GB2312" w:eastAsia="仿宋_GB2312" w:hAnsi="微软雅黑" w:cs="宋体" w:hint="eastAsia"/>
          <w:color w:val="333333"/>
          <w:kern w:val="0"/>
          <w:sz w:val="28"/>
          <w:szCs w:val="28"/>
        </w:rPr>
        <w:t>）的所有持仓。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若客户不愿按上述方法平仓可在收市前撤单</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不作为申报的平仓报单。</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（二）客户单位净持仓盈亏的确定</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客户该合约持仓盈亏总和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客户该合约单位净持仓盈亏</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客户该合约净持仓量×交易单位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客户该合约持仓盈亏总和，是指客户该合约的全部持仓按其实际成交价与当日结算价之差计算的盈亏总和。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（三）净持仓盈利客户平仓范围的确定</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根据上述方法计算的客户单位净持仓盈利大于零的客户的所有投机持仓以及客户单位净持仓盈利大于或等于第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的保值持仓都列入平仓范围。</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（四）平仓数量的分配原则及方法</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1. </w:t>
      </w:r>
      <w:r w:rsidRPr="00AE50B3">
        <w:rPr>
          <w:rFonts w:ascii="仿宋_GB2312" w:eastAsia="仿宋_GB2312" w:hAnsi="微软雅黑" w:cs="宋体" w:hint="eastAsia"/>
          <w:color w:val="333333"/>
          <w:kern w:val="0"/>
          <w:sz w:val="28"/>
          <w:szCs w:val="28"/>
        </w:rPr>
        <w:t>平仓数量的分配原则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）在平仓范围内按盈利的大小和投机与保值的不同分成四级</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逐级进行分配。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首先分配给属平仓范围内单位净持仓盈利大于或等于第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以上的投机持仓（以下简称盈利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其次分配给单位净持仓盈利大于或等于第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以上而小于</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的投机持仓（以下简称盈利</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以上的投机持仓）</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再次分配给单位净持仓盈利小于第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而大于零的投机持仓（以下简称盈利大于零的投机持仓）</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最后分配给单位净持仓盈利大于或等于第</w:t>
      </w:r>
      <w:r w:rsidRPr="00AE50B3">
        <w:rPr>
          <w:rFonts w:ascii="仿宋_GB2312" w:eastAsia="仿宋_GB2312" w:hAnsi="微软雅黑" w:cs="宋体"/>
          <w:color w:val="333333"/>
          <w:kern w:val="0"/>
          <w:sz w:val="28"/>
          <w:szCs w:val="28"/>
        </w:rPr>
        <w:t>N+2</w:t>
      </w:r>
      <w:r w:rsidRPr="00AE50B3">
        <w:rPr>
          <w:rFonts w:ascii="仿宋_GB2312" w:eastAsia="仿宋_GB2312" w:hAnsi="微软雅黑" w:cs="宋体" w:hint="eastAsia"/>
          <w:color w:val="333333"/>
          <w:kern w:val="0"/>
          <w:sz w:val="28"/>
          <w:szCs w:val="28"/>
        </w:rPr>
        <w:t>个交易日结算价的</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的保值持仓（以下简称盈利</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保值持仓）。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）以上各级分配比例均按申报平仓数量</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剩余申报平仓数量</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与各级可平仓的盈利持仓数量之比进行分配。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2. </w:t>
      </w:r>
      <w:r w:rsidRPr="00AE50B3">
        <w:rPr>
          <w:rFonts w:ascii="仿宋_GB2312" w:eastAsia="仿宋_GB2312" w:hAnsi="微软雅黑" w:cs="宋体" w:hint="eastAsia"/>
          <w:color w:val="333333"/>
          <w:kern w:val="0"/>
          <w:sz w:val="28"/>
          <w:szCs w:val="28"/>
        </w:rPr>
        <w:t>平仓数量的分配方法及步骤</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若单位净持仓盈利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以上的投机持仓数量大于或等于申报平仓数量</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则根据申报平仓数量与单位净持仓盈利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以上的投机持仓数量的比例</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将申报平仓数量向单位净持仓盈利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以上的投机持仓分配实际平仓数量</w:t>
      </w:r>
      <w:r w:rsidRPr="00AE50B3">
        <w:rPr>
          <w:rFonts w:ascii="仿宋_GB2312" w:eastAsia="仿宋_GB2312" w:hAnsi="微软雅黑" w:cs="宋体"/>
          <w:color w:val="333333"/>
          <w:kern w:val="0"/>
          <w:sz w:val="28"/>
          <w:szCs w:val="28"/>
        </w:rPr>
        <w:t>;</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以上的投机持仓数量小于申报平仓数量</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则根据单位净持仓盈利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以上的投机持仓数量与申报平仓数量的比例，将单位净持仓盈利</w:t>
      </w:r>
      <w:r w:rsidRPr="00AE50B3">
        <w:rPr>
          <w:rFonts w:ascii="仿宋_GB2312" w:eastAsia="仿宋_GB2312" w:hAnsi="微软雅黑" w:cs="宋体"/>
          <w:color w:val="333333"/>
          <w:kern w:val="0"/>
          <w:sz w:val="28"/>
          <w:szCs w:val="28"/>
        </w:rPr>
        <w:t>6%</w:t>
      </w:r>
      <w:r w:rsidRPr="00AE50B3">
        <w:rPr>
          <w:rFonts w:ascii="仿宋_GB2312" w:eastAsia="仿宋_GB2312" w:hAnsi="微软雅黑" w:cs="宋体" w:hint="eastAsia"/>
          <w:color w:val="333333"/>
          <w:kern w:val="0"/>
          <w:sz w:val="28"/>
          <w:szCs w:val="28"/>
        </w:rPr>
        <w:t>以上的投机持仓数量向申报平仓客户分配实际平仓数量。再把剩余的申报平仓数量按上述的分配方法向单位净持仓盈利</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以上的投机持仓分配</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若还有剩余</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则再向单位净持仓盈利大于零的投机持仓分配</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若还有剩余</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则再向单位净持仓盈利</w:t>
      </w:r>
      <w:r w:rsidRPr="00AE50B3">
        <w:rPr>
          <w:rFonts w:ascii="仿宋_GB2312" w:eastAsia="仿宋_GB2312" w:hAnsi="微软雅黑" w:cs="宋体"/>
          <w:color w:val="333333"/>
          <w:kern w:val="0"/>
          <w:sz w:val="28"/>
          <w:szCs w:val="28"/>
        </w:rPr>
        <w:t>7%</w:t>
      </w:r>
      <w:r w:rsidRPr="00AE50B3">
        <w:rPr>
          <w:rFonts w:ascii="仿宋_GB2312" w:eastAsia="仿宋_GB2312" w:hAnsi="微软雅黑" w:cs="宋体" w:hint="eastAsia"/>
          <w:color w:val="333333"/>
          <w:kern w:val="0"/>
          <w:sz w:val="28"/>
          <w:szCs w:val="28"/>
        </w:rPr>
        <w:t>的保值持仓分配。若还有剩余则不再分配。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分配平仓数量以“手”为单位</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不足一手的按如下方法计算：首先对每个交易编码所分配到的平仓数量的整数部分进行分配，然后按小数部分由大到小的顺序“进位取整”进行分配。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（五）强制减仓的执行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强制减仓于第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个交易日收市后由交易系统按强制减仓原则自动执行，强制减仓结果作为第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个交易日会员的交易结果。</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（六）强制减仓的价格</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强制减仓的价格为该合约第</w:t>
      </w:r>
      <w:r w:rsidRPr="00AE50B3">
        <w:rPr>
          <w:rFonts w:ascii="仿宋_GB2312" w:eastAsia="仿宋_GB2312" w:hAnsi="微软雅黑" w:cs="宋体"/>
          <w:color w:val="333333"/>
          <w:kern w:val="0"/>
          <w:sz w:val="28"/>
          <w:szCs w:val="28"/>
        </w:rPr>
        <w:t>N +2</w:t>
      </w:r>
      <w:r w:rsidRPr="00AE50B3">
        <w:rPr>
          <w:rFonts w:ascii="仿宋_GB2312" w:eastAsia="仿宋_GB2312" w:hAnsi="微软雅黑" w:cs="宋体" w:hint="eastAsia"/>
          <w:color w:val="333333"/>
          <w:kern w:val="0"/>
          <w:sz w:val="28"/>
          <w:szCs w:val="28"/>
        </w:rPr>
        <w:t>个交易日的涨</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跌</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停板价。</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（七）由上述减仓造成的经济损失由会员、境外经纪机构及客户承担。</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第二十条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该合约在采取上述措施后若风险仍未释放，则交易所宣布为异常情况，并按有关规定采取风险控制措施。</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限仓制度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交易所实行限仓制度。限仓是指交易所规定会员或客户可以持有的，按单边计算的某一合约投机头寸的最大数额。具有实际控制关系的客户和非期货公司会员的持仓合并计算。</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限仓实行以下基本制度：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（一）根据不同期货品种的具体情况，分别确定每一品种每一月份期货合约的限仓数额；</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（二）某一月份期货合约在其交易过程中的不同阶段，分别适用不同的限仓数额，进入交割月份的期货合约限仓数额从严控制；</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（三）套期保值交易头寸实行审批制，其持仓不受限制。</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同一客户在不同期货公司会员处开有多个交易编码，各交易编码上所有持仓头寸的合计数，不得超出一个客户的限仓数额。</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第二十四条</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非期货公司会员和客户采取不同的限仓要求：</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鸡蛋以外品种期货合约上市交易的一般月份（合约上市至交割月份前一个月第十四个交易日）期间，当该合约的单边持仓量达到一定规模起，非期货公司会员和客户按单边持仓量的一定比例确定限仓数额；在该合约的单边持仓量达到该规模前，非期货公司会员和客户该合约限仓数额以绝对量方式规定。在期货合约进入交割月份前一个月第十五个交易日至交割月期间，非期货公司会员和客户限仓数额以绝</w:t>
      </w:r>
      <w:r w:rsidRPr="00AE50B3">
        <w:rPr>
          <w:rFonts w:ascii="仿宋_GB2312" w:eastAsia="仿宋_GB2312" w:hAnsi="微软雅黑" w:cs="宋体" w:hint="eastAsia"/>
          <w:color w:val="333333"/>
          <w:kern w:val="0"/>
          <w:sz w:val="28"/>
          <w:szCs w:val="28"/>
        </w:rPr>
        <w:lastRenderedPageBreak/>
        <w:t>对量方式规定。鸡蛋品种非期货公司会员和客户的限仓数额以绝对量方式规定。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第二十五条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除鸡蛋品种外，各品种期货合约一般月份（合约上市至交割月份前一个月第十四个交易日）非期货公司会员和客户持仓限额见下表：（单位：手）</w:t>
      </w:r>
    </w:p>
    <w:tbl>
      <w:tblPr>
        <w:tblW w:w="5382"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4"/>
        <w:gridCol w:w="2868"/>
        <w:gridCol w:w="2234"/>
        <w:gridCol w:w="2127"/>
      </w:tblGrid>
      <w:tr w:rsidR="00EE1C68" w:rsidRPr="00AE50B3" w:rsidTr="000452FF">
        <w:tc>
          <w:tcPr>
            <w:tcW w:w="949" w:type="pc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品种</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合约单边持仓规模</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非期货公司会员</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客户</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黄大豆</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号</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黄大豆</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号</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豆粕</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玉米</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豆油</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棕榈油</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线型低密度聚乙烯</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聚氯乙烯</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焦炭</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50,000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50,000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焦煤</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80,000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80,000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铁矿石</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400,000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纤维板</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160,000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16,000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16,000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160,000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胶合板</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60,000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60,000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聚丙烯</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200,000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r w:rsidR="00EE1C68" w:rsidRPr="00AE50B3" w:rsidTr="000452FF">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玉米淀粉</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150,000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15,000</w:t>
            </w:r>
          </w:p>
        </w:tc>
      </w:tr>
      <w:tr w:rsidR="00EE1C68" w:rsidRPr="00AE50B3" w:rsidTr="000452FF">
        <w:tc>
          <w:tcPr>
            <w:tcW w:w="949"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150,000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单边持仓×</w:t>
            </w:r>
            <w:r w:rsidRPr="00AE50B3">
              <w:rPr>
                <w:rFonts w:ascii="仿宋_GB2312" w:eastAsia="仿宋_GB2312" w:hAnsi="微软雅黑" w:cs="宋体"/>
                <w:color w:val="333333"/>
                <w:kern w:val="0"/>
                <w:sz w:val="28"/>
                <w:szCs w:val="28"/>
              </w:rPr>
              <w:t>10%</w:t>
            </w:r>
          </w:p>
        </w:tc>
      </w:tr>
    </w:tbl>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除鸡蛋品种外，各品种期货合约自交割月份前一个月第十五个交易日至交割月期间非期货公司会员和客户持仓限额见下表，交割月份个人客户持仓限额为</w:t>
      </w:r>
      <w:r w:rsidRPr="00AE50B3">
        <w:rPr>
          <w:rFonts w:ascii="仿宋_GB2312" w:eastAsia="仿宋_GB2312" w:hAnsi="微软雅黑" w:cs="宋体"/>
          <w:color w:val="333333"/>
          <w:kern w:val="0"/>
          <w:sz w:val="28"/>
          <w:szCs w:val="28"/>
        </w:rPr>
        <w:t>0</w:t>
      </w:r>
      <w:r w:rsidRPr="00AE50B3">
        <w:rPr>
          <w:rFonts w:ascii="仿宋_GB2312" w:eastAsia="仿宋_GB2312" w:hAnsi="微软雅黑" w:cs="宋体" w:hint="eastAsia"/>
          <w:color w:val="333333"/>
          <w:kern w:val="0"/>
          <w:sz w:val="28"/>
          <w:szCs w:val="28"/>
        </w:rPr>
        <w:t>：（单位：手）</w:t>
      </w:r>
    </w:p>
    <w:tbl>
      <w:tblPr>
        <w:tblW w:w="5382"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3"/>
        <w:gridCol w:w="4253"/>
        <w:gridCol w:w="1984"/>
        <w:gridCol w:w="993"/>
      </w:tblGrid>
      <w:tr w:rsidR="00EE1C68" w:rsidRPr="00AE50B3" w:rsidTr="000452FF">
        <w:tc>
          <w:tcPr>
            <w:tcW w:w="169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品种</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时间段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非期货公司会员</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客户</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黄大豆</w:t>
            </w:r>
            <w:r w:rsidRPr="00AE50B3">
              <w:rPr>
                <w:rFonts w:ascii="仿宋_GB2312" w:eastAsia="仿宋_GB2312" w:hAnsi="微软雅黑" w:cs="宋体"/>
                <w:color w:val="333333"/>
                <w:kern w:val="0"/>
                <w:sz w:val="28"/>
                <w:szCs w:val="28"/>
              </w:rPr>
              <w:t>1</w:t>
            </w:r>
            <w:r w:rsidRPr="00AE50B3">
              <w:rPr>
                <w:rFonts w:ascii="仿宋_GB2312" w:eastAsia="仿宋_GB2312" w:hAnsi="微软雅黑" w:cs="宋体" w:hint="eastAsia"/>
                <w:color w:val="333333"/>
                <w:kern w:val="0"/>
                <w:sz w:val="28"/>
                <w:szCs w:val="28"/>
              </w:rPr>
              <w:t>号</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黄大豆</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号</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4,500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豆粕</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7,500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豆油</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棕榈油</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玉米</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线型低密度聚乙烯</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聚氯乙烯</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焦炭</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900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900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300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焦煤</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铁矿石</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纤维板</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胶合板</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80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聚丙烯</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5,000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2,500</w:t>
            </w:r>
          </w:p>
        </w:tc>
      </w:tr>
      <w:tr w:rsidR="00EE1C68" w:rsidRPr="00AE50B3" w:rsidTr="000452FF">
        <w:tc>
          <w:tcPr>
            <w:tcW w:w="169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玉米淀粉</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交割月前一个月第十五个交易日起</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4,500</w:t>
            </w:r>
          </w:p>
        </w:tc>
      </w:tr>
      <w:tr w:rsidR="00EE1C68" w:rsidRPr="00AE50B3" w:rsidTr="000452FF">
        <w:tc>
          <w:tcPr>
            <w:tcW w:w="169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1,500</w:t>
            </w:r>
          </w:p>
        </w:tc>
      </w:tr>
    </w:tbl>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鸡蛋期货合约非期货公司会员和客户持仓限额见下表，交割月份个人客户持仓限额为</w:t>
      </w:r>
      <w:r w:rsidRPr="00AE50B3">
        <w:rPr>
          <w:rFonts w:ascii="仿宋_GB2312" w:eastAsia="仿宋_GB2312" w:hAnsi="微软雅黑" w:cs="宋体"/>
          <w:color w:val="333333"/>
          <w:kern w:val="0"/>
          <w:sz w:val="28"/>
          <w:szCs w:val="28"/>
        </w:rPr>
        <w:t>0</w:t>
      </w:r>
      <w:r w:rsidRPr="00AE50B3">
        <w:rPr>
          <w:rFonts w:ascii="仿宋_GB2312" w:eastAsia="仿宋_GB2312" w:hAnsi="微软雅黑" w:cs="宋体" w:hint="eastAsia"/>
          <w:color w:val="333333"/>
          <w:kern w:val="0"/>
          <w:sz w:val="28"/>
          <w:szCs w:val="28"/>
        </w:rPr>
        <w:t>：（单位：手）</w:t>
      </w:r>
    </w:p>
    <w:tbl>
      <w:tblPr>
        <w:tblW w:w="5382"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30"/>
        <w:gridCol w:w="2524"/>
        <w:gridCol w:w="1369"/>
      </w:tblGrid>
      <w:tr w:rsidR="00EE1C68" w:rsidRPr="00AE50B3" w:rsidTr="000452F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交易时间段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非期货公司会员</w:t>
            </w:r>
          </w:p>
        </w:tc>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客户</w:t>
            </w:r>
          </w:p>
        </w:tc>
      </w:tr>
      <w:tr w:rsidR="00EE1C68" w:rsidRPr="00AE50B3" w:rsidTr="000452F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合约上市起</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w:t>
            </w:r>
          </w:p>
        </w:tc>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600</w:t>
            </w:r>
          </w:p>
        </w:tc>
      </w:tr>
      <w:tr w:rsidR="00EE1C68" w:rsidRPr="00AE50B3" w:rsidTr="000452F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交割月前一个月第一个交易日起</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w:t>
            </w:r>
          </w:p>
        </w:tc>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200</w:t>
            </w:r>
          </w:p>
        </w:tc>
      </w:tr>
      <w:tr w:rsidR="00EE1C68" w:rsidRPr="00AE50B3" w:rsidTr="000452F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交割月前一个月第十个交易日起</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w:t>
            </w:r>
          </w:p>
        </w:tc>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60</w:t>
            </w:r>
          </w:p>
        </w:tc>
      </w:tr>
      <w:tr w:rsidR="00EE1C68" w:rsidRPr="00AE50B3" w:rsidTr="000452F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交割月份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w:t>
            </w:r>
          </w:p>
        </w:tc>
        <w:tc>
          <w:tcPr>
            <w:tcW w:w="7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E1C68" w:rsidRPr="00AE50B3" w:rsidRDefault="00EE1C68" w:rsidP="000452FF">
            <w:pPr>
              <w:widowControl/>
              <w:rPr>
                <w:rFonts w:ascii="仿宋_GB2312" w:eastAsia="仿宋_GB2312" w:hAnsi="微软雅黑" w:cs="宋体"/>
                <w:color w:val="333333"/>
                <w:kern w:val="0"/>
                <w:sz w:val="28"/>
                <w:szCs w:val="28"/>
              </w:rPr>
            </w:pPr>
            <w:r w:rsidRPr="00AE50B3">
              <w:rPr>
                <w:rFonts w:ascii="仿宋_GB2312" w:eastAsia="仿宋_GB2312" w:hAnsi="微软雅黑" w:cs="宋体"/>
                <w:color w:val="333333"/>
                <w:kern w:val="0"/>
                <w:sz w:val="28"/>
                <w:szCs w:val="28"/>
              </w:rPr>
              <w:t>20</w:t>
            </w:r>
          </w:p>
        </w:tc>
      </w:tr>
    </w:tbl>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第二十六条</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非期货公司会员或客户的持仓数量不得超过交易所规定的持仓限额，超过持仓限额的，不得同方向开仓交易。对超过持仓限额的非期货公司会员或客户，交易所将于下一交易日按有关规定执行强行平仓。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一个客户在不同期货公司会员处开有多个交易编码，其持仓量合计超出限仓数额的，由交易所指定有关期货公司会员对该客户超额持仓执行强行平仓。</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第五章</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交易限额制度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第二十七条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套期保值交易的开仓数量不受本条前款限制。</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第二十八条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第六章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大户报告制度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第二十九条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交易所实行大户报告制度。当非期货公司会员或客户某品种持仓合约的投机头寸达到交易所对其规定的投机头寸持仓限量</w:t>
      </w:r>
      <w:r w:rsidRPr="00AE50B3">
        <w:rPr>
          <w:rFonts w:ascii="仿宋_GB2312" w:eastAsia="仿宋_GB2312" w:hAnsi="微软雅黑" w:cs="宋体"/>
          <w:color w:val="333333"/>
          <w:kern w:val="0"/>
          <w:sz w:val="28"/>
          <w:szCs w:val="28"/>
        </w:rPr>
        <w:t>80%</w:t>
      </w:r>
      <w:r w:rsidRPr="00AE50B3">
        <w:rPr>
          <w:rFonts w:ascii="仿宋_GB2312" w:eastAsia="仿宋_GB2312" w:hAnsi="微软雅黑" w:cs="宋体" w:hint="eastAsia"/>
          <w:color w:val="333333"/>
          <w:kern w:val="0"/>
          <w:sz w:val="28"/>
          <w:szCs w:val="28"/>
        </w:rPr>
        <w:t>以上（含本数）时</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非期货公司会员或客户应向交易所报告其资金情况、头寸情况，客户须通过期货公司会员报告；委托境外经纪机构从事期货交易的客户，应当委托其境外经纪机构报告，境外经纪机构再委托期货公司会员报告。</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非期货公司会员、客户应当保证所提供的大户持仓报告和其他材料的真实性、准确性和完整性。</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交易所可根据市场风险状况，调整改变持仓报告水平。</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非期货公司会员或客户的持仓达到交易所报告界限的，非期货公司会员或客户应主动于下一交易日</w:t>
      </w:r>
      <w:r w:rsidRPr="00AE50B3">
        <w:rPr>
          <w:rFonts w:ascii="仿宋_GB2312" w:eastAsia="仿宋_GB2312" w:hAnsi="微软雅黑" w:cs="宋体"/>
          <w:color w:val="333333"/>
          <w:kern w:val="0"/>
          <w:sz w:val="28"/>
          <w:szCs w:val="28"/>
        </w:rPr>
        <w:t>15:00</w:t>
      </w:r>
      <w:r w:rsidRPr="00AE50B3">
        <w:rPr>
          <w:rFonts w:ascii="仿宋_GB2312" w:eastAsia="仿宋_GB2312" w:hAnsi="微软雅黑" w:cs="宋体" w:hint="eastAsia"/>
          <w:color w:val="333333"/>
          <w:kern w:val="0"/>
          <w:sz w:val="28"/>
          <w:szCs w:val="28"/>
        </w:rPr>
        <w:t>时前向交易所报告。如需再次报告或补充报告，交易所将通知有关会员。</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第三十一条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达到交易所报告界限的非期货公司会员应向交易所提供下列材料：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（一）填写完整的《非期货公司会员大户报告表》（见附件</w:t>
      </w:r>
      <w:r w:rsidRPr="00AE50B3">
        <w:rPr>
          <w:rFonts w:ascii="仿宋_GB2312" w:eastAsia="仿宋_GB2312" w:hAnsi="微软雅黑" w:cs="宋体"/>
          <w:color w:val="333333"/>
          <w:kern w:val="0"/>
          <w:sz w:val="28"/>
          <w:szCs w:val="28"/>
        </w:rPr>
        <w:t>2</w:t>
      </w:r>
      <w:r w:rsidRPr="00AE50B3">
        <w:rPr>
          <w:rFonts w:ascii="仿宋_GB2312" w:eastAsia="仿宋_GB2312" w:hAnsi="微软雅黑" w:cs="宋体" w:hint="eastAsia"/>
          <w:color w:val="333333"/>
          <w:kern w:val="0"/>
          <w:sz w:val="28"/>
          <w:szCs w:val="28"/>
        </w:rPr>
        <w:t>），内容包括会员名称、会员号、合约代码、现有持仓、持仓性质、持仓保证金、可动用资金、持仓意向、预报交割数量、申请交割数量；</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（二）资金来源说明；</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（三）交易所要求提供的其他材料。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达到交易所报告界限的客户应提供下列材料：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（一）填写完整的《客户大户报告表》（见附件</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），内容包括会员名称、会员号、客户名称和编码、合约代码、现有持仓、持仓性质、持仓保证金、可动用资金、持仓意向、预报交割数量、申请交割数量等；</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（二）资金来源说明；</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（三）开户材料及当日结算单据；</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（四）交易所要求提供的其他材料。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期货公司会员、境外经纪机构应对达到交易所报告界限的客户所提供的有关材料进行初审，然后由期货公司会员转交交易所。期货公司会员、境外经纪机构应保证客户所提供的材料的真实性和准确性。</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第三十四条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交易所将不定期地对会员、境外经纪机构或客户提供的材料进行核查。</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第三十五条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客户在不同期货公司会员处开有多个交易编码，各交易编码持有头寸合计达到报告界限，由交易所指定并通知有关期货公司会员，负责报送该客户应报告情况的有关材料。</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第七章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强行平仓制度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第三十六条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为控制市场风险，交易所实行强行平仓制度。强行平仓是指当会员、客户违规时，交易所对有关持仓实行平仓的一种强制措施。</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第三十七条当会员、客户出现下列情形之一时，交易所有权对其持仓进行强行平仓：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（一）会员结算准备金余额小于零，并未能在规定时限内补足的；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（二）非期货公司会员和客户持仓量超出其限仓规定的；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（三）因违规受到交易所强行平仓处罚的；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（四）根据交易所的紧急措施应予强行平仓的；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（五）其他应予强行平仓的。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第三十八条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强行平仓的执行原则：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强行平仓先由会员自己执行，除交易所特别规定外，对开设夜盘交易的品种，其时限为夜盘交易小节、第一节和第二节交易时间内；对未开设夜盘交易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属第三十七条第（三）、（四）、（五）项的强行平仓，其强行平仓时间由交易所另行通知。</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（一）由会员单位执行的强行平仓头寸的确定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1. </w:t>
      </w:r>
      <w:r w:rsidRPr="00AE50B3">
        <w:rPr>
          <w:rFonts w:ascii="仿宋_GB2312" w:eastAsia="仿宋_GB2312" w:hAnsi="微软雅黑" w:cs="宋体" w:hint="eastAsia"/>
          <w:color w:val="333333"/>
          <w:kern w:val="0"/>
          <w:sz w:val="28"/>
          <w:szCs w:val="28"/>
        </w:rPr>
        <w:t>属第三十七条第（一）、（二）项的强行平仓，其需强行平仓头寸由会员单位自行确定，只要强行平仓结果符合交易所规则即可。</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2. </w:t>
      </w:r>
      <w:r w:rsidRPr="00AE50B3">
        <w:rPr>
          <w:rFonts w:ascii="仿宋_GB2312" w:eastAsia="仿宋_GB2312" w:hAnsi="微软雅黑" w:cs="宋体" w:hint="eastAsia"/>
          <w:color w:val="333333"/>
          <w:kern w:val="0"/>
          <w:sz w:val="28"/>
          <w:szCs w:val="28"/>
        </w:rPr>
        <w:t>属第三十七条第（三）、（四）、（五）项的强行平仓，其需强行平仓头寸由交易所确定。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（二）由交易所执行的强行平仓头寸的确定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1. </w:t>
      </w:r>
      <w:r w:rsidRPr="00AE50B3">
        <w:rPr>
          <w:rFonts w:ascii="仿宋_GB2312" w:eastAsia="仿宋_GB2312" w:hAnsi="微软雅黑" w:cs="宋体" w:hint="eastAsia"/>
          <w:color w:val="333333"/>
          <w:kern w:val="0"/>
          <w:sz w:val="28"/>
          <w:szCs w:val="28"/>
        </w:rPr>
        <w:t>属第三十七条第（一）项的强行平仓，交易所以该会员在</w:t>
      </w:r>
      <w:r w:rsidRPr="00AE50B3">
        <w:rPr>
          <w:rFonts w:ascii="仿宋_GB2312" w:eastAsia="仿宋_GB2312" w:hAnsi="微软雅黑" w:cs="宋体"/>
          <w:color w:val="333333"/>
          <w:kern w:val="0"/>
          <w:sz w:val="28"/>
          <w:szCs w:val="28"/>
        </w:rPr>
        <w:t>13</w:t>
      </w:r>
      <w:r w:rsidRPr="00AE50B3">
        <w:rPr>
          <w:rFonts w:ascii="仿宋_GB2312" w:eastAsia="仿宋_GB2312" w:hAnsi="微软雅黑" w:cs="宋体" w:hint="eastAsia"/>
          <w:color w:val="333333"/>
          <w:kern w:val="0"/>
          <w:sz w:val="28"/>
          <w:szCs w:val="28"/>
        </w:rPr>
        <w:t>：</w:t>
      </w:r>
      <w:r w:rsidRPr="00AE50B3">
        <w:rPr>
          <w:rFonts w:ascii="仿宋_GB2312" w:eastAsia="仿宋_GB2312" w:hAnsi="微软雅黑" w:cs="宋体"/>
          <w:color w:val="333333"/>
          <w:kern w:val="0"/>
          <w:sz w:val="28"/>
          <w:szCs w:val="28"/>
        </w:rPr>
        <w:t>00</w:t>
      </w:r>
      <w:r w:rsidRPr="00AE50B3">
        <w:rPr>
          <w:rFonts w:ascii="仿宋_GB2312" w:eastAsia="仿宋_GB2312" w:hAnsi="微软雅黑" w:cs="宋体" w:hint="eastAsia"/>
          <w:color w:val="333333"/>
          <w:kern w:val="0"/>
          <w:sz w:val="28"/>
          <w:szCs w:val="28"/>
        </w:rPr>
        <w:t>的结算准备金余额为依据，计算会员应追加的交易保证金，该会员所有客户按交易保证金等比例平仓原则进行强行平仓：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平仓比例</w:t>
      </w:r>
      <w:r w:rsidRPr="00AE50B3">
        <w:rPr>
          <w:rFonts w:ascii="仿宋_GB2312" w:eastAsia="仿宋_GB2312" w:hAnsi="微软雅黑" w:cs="宋体"/>
          <w:color w:val="333333"/>
          <w:kern w:val="0"/>
          <w:sz w:val="28"/>
          <w:szCs w:val="28"/>
        </w:rPr>
        <w:t xml:space="preserve"> = </w:t>
      </w:r>
      <w:r w:rsidRPr="00AE50B3">
        <w:rPr>
          <w:rFonts w:ascii="仿宋_GB2312" w:eastAsia="仿宋_GB2312" w:hAnsi="微软雅黑" w:cs="宋体" w:hint="eastAsia"/>
          <w:color w:val="333333"/>
          <w:kern w:val="0"/>
          <w:sz w:val="28"/>
          <w:szCs w:val="28"/>
        </w:rPr>
        <w:t>会员应追加交易保证金</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会员交易保证金总额×</w:t>
      </w:r>
      <w:r w:rsidRPr="00AE50B3">
        <w:rPr>
          <w:rFonts w:ascii="仿宋_GB2312" w:eastAsia="仿宋_GB2312" w:hAnsi="微软雅黑" w:cs="宋体"/>
          <w:color w:val="333333"/>
          <w:kern w:val="0"/>
          <w:sz w:val="28"/>
          <w:szCs w:val="28"/>
        </w:rPr>
        <w:t>100%</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客户应平仓释放交易保证金</w:t>
      </w:r>
      <w:r w:rsidRPr="00AE50B3">
        <w:rPr>
          <w:rFonts w:ascii="仿宋_GB2312" w:eastAsia="仿宋_GB2312" w:hAnsi="微软雅黑" w:cs="宋体"/>
          <w:color w:val="333333"/>
          <w:kern w:val="0"/>
          <w:sz w:val="28"/>
          <w:szCs w:val="28"/>
        </w:rPr>
        <w:t xml:space="preserve"> = </w:t>
      </w:r>
      <w:r w:rsidRPr="00AE50B3">
        <w:rPr>
          <w:rFonts w:ascii="仿宋_GB2312" w:eastAsia="仿宋_GB2312" w:hAnsi="微软雅黑" w:cs="宋体" w:hint="eastAsia"/>
          <w:color w:val="333333"/>
          <w:kern w:val="0"/>
          <w:sz w:val="28"/>
          <w:szCs w:val="28"/>
        </w:rPr>
        <w:t>该客户交易保证金总额×平仓比例</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其客户需要强行平仓的头寸由交易所按先投机、后套期保值的原则；并按上一交易日闭市后合约总持仓量由大到小顺序，先选择持仓量大的合约作为强行平仓的合约。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若多个会员需要强行平仓的，按追加保证金由大到小的顺序，先平需要追加保证金大的会员。</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2. </w:t>
      </w:r>
      <w:r w:rsidRPr="00AE50B3">
        <w:rPr>
          <w:rFonts w:ascii="仿宋_GB2312" w:eastAsia="仿宋_GB2312" w:hAnsi="微软雅黑" w:cs="宋体" w:hint="eastAsia"/>
          <w:color w:val="333333"/>
          <w:kern w:val="0"/>
          <w:sz w:val="28"/>
          <w:szCs w:val="28"/>
        </w:rPr>
        <w:t>属第三十七条第（二）项的强行平仓：若既有投机持仓超仓也有保值持仓超仓，则按先投机持仓后保值持仓的顺序强行平仓。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若客户在多个期货公司会员处持有投机持仓，则按该客户投机持仓数量由大到小的顺序选择期货公司会员强行平仓。若多个客户投机持仓超仓，则按客户投机超仓数量由大到小顺序强行平仓。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3. </w:t>
      </w:r>
      <w:r w:rsidRPr="00AE50B3">
        <w:rPr>
          <w:rFonts w:ascii="仿宋_GB2312" w:eastAsia="仿宋_GB2312" w:hAnsi="微软雅黑" w:cs="宋体" w:hint="eastAsia"/>
          <w:color w:val="333333"/>
          <w:kern w:val="0"/>
          <w:sz w:val="28"/>
          <w:szCs w:val="28"/>
        </w:rPr>
        <w:t>属第三十七条第（三）、（四）、（五）项的强行平仓，强行平仓头寸由交易所根据涉及的会员和客户具体情况确定。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若会员同时满足第三十七条第（一）、（二）项情况，交易所先按第（二）项情况确定强行平仓头寸，再按第（一）项情况确定强行平仓头寸。</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第三十九条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强行平仓的执行：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（一）通知。</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交易所以“强行平仓通知书”（以下简称通知书）的形式向有关会员下达强行平仓要求。通知书除交易所特别送达以外，通过会员服务系统随当日结算数据发送，有关会员可以通过会员服务系统获得。</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（二）执行及确认。</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1. </w:t>
      </w:r>
      <w:r w:rsidRPr="00AE50B3">
        <w:rPr>
          <w:rFonts w:ascii="仿宋_GB2312" w:eastAsia="仿宋_GB2312" w:hAnsi="微软雅黑" w:cs="宋体" w:hint="eastAsia"/>
          <w:color w:val="333333"/>
          <w:kern w:val="0"/>
          <w:sz w:val="28"/>
          <w:szCs w:val="28"/>
        </w:rPr>
        <w:t>开市后，有关会员必须首先自行平仓，直至达到平仓要求；</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2. </w:t>
      </w:r>
      <w:r w:rsidRPr="00AE50B3">
        <w:rPr>
          <w:rFonts w:ascii="仿宋_GB2312" w:eastAsia="仿宋_GB2312" w:hAnsi="微软雅黑" w:cs="宋体" w:hint="eastAsia"/>
          <w:color w:val="333333"/>
          <w:kern w:val="0"/>
          <w:sz w:val="28"/>
          <w:szCs w:val="28"/>
        </w:rPr>
        <w:t>超过会员自行强行平仓时限而未执行完毕的，剩余部份由交易所直接执行强行平仓；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3. </w:t>
      </w:r>
      <w:r w:rsidRPr="00AE50B3">
        <w:rPr>
          <w:rFonts w:ascii="仿宋_GB2312" w:eastAsia="仿宋_GB2312" w:hAnsi="微软雅黑" w:cs="宋体" w:hint="eastAsia"/>
          <w:color w:val="333333"/>
          <w:kern w:val="0"/>
          <w:sz w:val="28"/>
          <w:szCs w:val="28"/>
        </w:rPr>
        <w:t>强行平仓执行完毕后，由交易所记录执行结果并存档；</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w:t>
      </w:r>
      <w:r w:rsidRPr="00AE50B3">
        <w:rPr>
          <w:rFonts w:ascii="仿宋_GB2312" w:eastAsia="仿宋_GB2312" w:hAnsi="微软雅黑" w:cs="宋体"/>
          <w:color w:val="333333"/>
          <w:kern w:val="0"/>
          <w:sz w:val="28"/>
          <w:szCs w:val="28"/>
        </w:rPr>
        <w:t xml:space="preserve">4. </w:t>
      </w:r>
      <w:r w:rsidRPr="00AE50B3">
        <w:rPr>
          <w:rFonts w:ascii="仿宋_GB2312" w:eastAsia="仿宋_GB2312" w:hAnsi="微软雅黑" w:cs="宋体" w:hint="eastAsia"/>
          <w:color w:val="333333"/>
          <w:kern w:val="0"/>
          <w:sz w:val="28"/>
          <w:szCs w:val="28"/>
        </w:rPr>
        <w:t>强行平仓结果随当日成交记录发送，有关会员可以通过会员服务系统获得。</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强行平仓的价格通过市场交易形成。</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第四十一条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如因价格涨跌停板或其他市场原因而无法在当日完成全部强行平仓的，交易所根据结算结果，对该会员或客户做出相应的处理。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由于价格涨跌停板限制或其他市场原因，有关持仓的强行平仓只能延时完成的，因此发生的亏损，仍由直接责任人承担；未能完成平仓的，该持仓持有者须继续对此承担持仓责任或交割义务。</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除第三十七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公司会员先行承担后</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自行向该境外经纪机构追索，境外经纪机构承担损失后，自行向该客户追索。</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本办法第三十七条第（三）项实施的强行平仓，亏损由相应的会员或客户承担，盈利计入交易所营业外收入。</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会员或客户强行平仓产生的盈利或者亏损根据《大连商品交易所结算细则》平仓盈亏有关规定计算。</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第八章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异常情况处理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第四十四条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在期货交易过程中，当出现以下情形之一的，交易所可以宣布进入异常情况，采取紧急措施化解风险：</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（一）地震、水灾、火灾等不可抗力或计算机系统故障等不可归责于交易所的原因导致交易无法正常进行；</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（二）会员出现结算、交割危机，对市场正在产生或者将产生重大影响；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（三）期货价格出现同方向连续涨跌停板</w:t>
      </w:r>
      <w:r w:rsidRPr="00AE50B3">
        <w:rPr>
          <w:rFonts w:ascii="仿宋_GB2312" w:eastAsia="仿宋_GB2312" w:hAnsi="微软雅黑" w:cs="宋体"/>
          <w:color w:val="333333"/>
          <w:kern w:val="0"/>
          <w:sz w:val="28"/>
          <w:szCs w:val="28"/>
        </w:rPr>
        <w:t>,</w:t>
      </w:r>
      <w:r w:rsidRPr="00AE50B3">
        <w:rPr>
          <w:rFonts w:ascii="仿宋_GB2312" w:eastAsia="仿宋_GB2312" w:hAnsi="微软雅黑" w:cs="宋体" w:hint="eastAsia"/>
          <w:color w:val="333333"/>
          <w:kern w:val="0"/>
          <w:sz w:val="28"/>
          <w:szCs w:val="28"/>
        </w:rPr>
        <w:t>有根据认为会员、境外经纪机构或者客户违反交易所交易规则及其实施细则并且对市场正在产生或者即将产生重大影响；</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（四）交易所规定的其他情况。</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第四十五条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第四十六条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在铁矿石期货交易过程中，因战争、社会动荡、自然灾害等因素对铁矿石进口正在产生或者即将产生重大影响时，交易所可以宣布进入异常情况，交易所总经理可以采取调整开市收市时间、暂停交易、终止交易的紧急措施。终止交易当天结算时，铁矿石各合约月份全部持仓按照上一交易日结算价进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第四十七条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交易所宣布异常情况并决定采取紧急措施前必须报告中国证监会。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对棕榈油、铁矿石合约采取终止交易紧急措施的，应当经中国证监会批准。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第四十八条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第四十九条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交易所宣布进入异常情况并决定暂停交易时，暂停交易的期限不得超过</w:t>
      </w:r>
      <w:r w:rsidRPr="00AE50B3">
        <w:rPr>
          <w:rFonts w:ascii="仿宋_GB2312" w:eastAsia="仿宋_GB2312" w:hAnsi="微软雅黑" w:cs="宋体"/>
          <w:color w:val="333333"/>
          <w:kern w:val="0"/>
          <w:sz w:val="28"/>
          <w:szCs w:val="28"/>
        </w:rPr>
        <w:t>3</w:t>
      </w:r>
      <w:r w:rsidRPr="00AE50B3">
        <w:rPr>
          <w:rFonts w:ascii="仿宋_GB2312" w:eastAsia="仿宋_GB2312" w:hAnsi="微软雅黑" w:cs="宋体" w:hint="eastAsia"/>
          <w:color w:val="333333"/>
          <w:kern w:val="0"/>
          <w:sz w:val="28"/>
          <w:szCs w:val="28"/>
        </w:rPr>
        <w:t>个交易日，但经中国证监会批准延长的除外。</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发生技术故障，存在下列情形时，交易所不承担责任：</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（一）因不可抗力引发的技术故障；</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（二）非因交易所过错引发的技术故障；</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（三）法律、法规、规章规定的其他免责情形。</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第九章　风险警示制度</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第五十一条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交易所实行风险警示制度。当交易所认为必要时，可以分别或同时采取要求报告情况、谈话提醒、发布风险提示函等措施中的一种或多种，以警示和化解风险。</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第五十二条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出现下列情形之一的，交易所可以要求会员、境外经纪机构或客户报告情况，或约见指定的会员、境外经纪机构高管人员或客户谈话提醒风险：</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期货价格出现异常变动；</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（二）</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会员或客户交易行为异常；</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会员、境外经纪机构或客户持仓变化较大；</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会员资金变化较大；</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（五）</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会员、境外经纪机构或客户涉嫌违规；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（六）</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会员、境外经纪机构或客户被投诉；</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（七）</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会员、境外经纪机构或客户涉及司法调查或诉讼案件；</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（八）</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交易所认定的其他情形。</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交易所要求会员、境外经纪机构或客户报告情况的，会员、境外经纪机构或客户应当按照交易所要求的时间、内容和方式如实报告。</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交易所实施谈话提醒的，会员、境外经纪机构或客户应当按照交易所要求的时间、地点和方式认真履行。如果使用电话提醒方式，应保留电话录音；如果当面谈话，应保存谈话记录。</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第五十三条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发生下列情形之一的，交易所可以向全体或部分会员、境外经纪机构和客户发出风险提示函：</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（一）期货市场交易出现异常变化；</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（二）国内外期货或现货市场发生较大变化；</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（三）会员、境外经纪机构或客户涉嫌违规；</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（四）会员、境外经纪机构或客户交易存在较大风险；</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（五）交易所认定的其他异常情形。</w:t>
      </w:r>
    </w:p>
    <w:p w:rsidR="00EE1C68" w:rsidRPr="00AE50B3" w:rsidRDefault="00EE1C68" w:rsidP="00EE1C68">
      <w:pPr>
        <w:widowControl/>
        <w:shd w:val="clear" w:color="auto" w:fill="FFFFFF"/>
        <w:jc w:val="center"/>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第十章</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附则</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第五十四条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违反本办法规定的，交易所按《大连商品交易所违规处理办法》的有关规定处理。</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lastRenderedPageBreak/>
        <w:t xml:space="preserve">　　第五十五条</w:t>
      </w:r>
      <w:r w:rsidRPr="00AE50B3">
        <w:rPr>
          <w:rFonts w:ascii="仿宋_GB2312" w:eastAsia="仿宋_GB2312" w:hAnsi="微软雅黑" w:cs="宋体"/>
          <w:color w:val="333333"/>
          <w:kern w:val="0"/>
          <w:sz w:val="28"/>
          <w:szCs w:val="28"/>
        </w:rPr>
        <w:t> </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交易所对期权交易风险管理有特别规定的，适用其规定。</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第五十六条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本办法解释权属于大连商品交易所。</w:t>
      </w:r>
    </w:p>
    <w:p w:rsidR="00EE1C68" w:rsidRPr="00AE50B3" w:rsidRDefault="00EE1C68" w:rsidP="00EE1C68">
      <w:pPr>
        <w:widowControl/>
        <w:shd w:val="clear" w:color="auto" w:fill="FFFFFF"/>
        <w:rPr>
          <w:rFonts w:ascii="仿宋_GB2312" w:eastAsia="仿宋_GB2312" w:hAnsi="微软雅黑" w:cs="宋体"/>
          <w:color w:val="333333"/>
          <w:kern w:val="0"/>
          <w:sz w:val="28"/>
          <w:szCs w:val="28"/>
        </w:rPr>
      </w:pPr>
      <w:r w:rsidRPr="00AE50B3">
        <w:rPr>
          <w:rFonts w:ascii="仿宋_GB2312" w:eastAsia="仿宋_GB2312" w:hAnsi="微软雅黑" w:cs="宋体" w:hint="eastAsia"/>
          <w:color w:val="333333"/>
          <w:kern w:val="0"/>
          <w:sz w:val="28"/>
          <w:szCs w:val="28"/>
        </w:rPr>
        <w:t xml:space="preserve">　　第五十七条</w:t>
      </w:r>
      <w:r w:rsidRPr="00AE50B3">
        <w:rPr>
          <w:rFonts w:ascii="仿宋_GB2312" w:eastAsia="仿宋_GB2312" w:hAnsi="微软雅黑" w:cs="宋体"/>
          <w:color w:val="333333"/>
          <w:kern w:val="0"/>
          <w:sz w:val="28"/>
          <w:szCs w:val="28"/>
        </w:rPr>
        <w:t xml:space="preserve"> </w:t>
      </w:r>
      <w:r w:rsidRPr="00AE50B3">
        <w:rPr>
          <w:rFonts w:ascii="仿宋_GB2312" w:eastAsia="仿宋_GB2312" w:hAnsi="微软雅黑" w:cs="宋体" w:hint="eastAsia"/>
          <w:color w:val="333333"/>
          <w:kern w:val="0"/>
          <w:sz w:val="28"/>
          <w:szCs w:val="28"/>
        </w:rPr>
        <w:t>本办法自公布之日起实施。</w:t>
      </w:r>
    </w:p>
    <w:p w:rsidR="00EE1C68" w:rsidRDefault="00EE1C68" w:rsidP="00EE1C68">
      <w:pPr>
        <w:widowControl/>
        <w:spacing w:line="560" w:lineRule="exact"/>
        <w:jc w:val="left"/>
        <w:rPr>
          <w:rFonts w:ascii="仿宋_GB2312" w:eastAsia="仿宋_GB2312" w:hAnsi="Times New Roman"/>
          <w:color w:val="000000"/>
          <w:kern w:val="0"/>
          <w:sz w:val="28"/>
          <w:szCs w:val="28"/>
        </w:rPr>
        <w:sectPr w:rsidR="00EE1C68" w:rsidSect="007C00C4">
          <w:pgSz w:w="11906" w:h="16838"/>
          <w:pgMar w:top="1440" w:right="1800" w:bottom="1440" w:left="1800" w:header="851" w:footer="992" w:gutter="0"/>
          <w:cols w:space="425"/>
          <w:docGrid w:type="lines" w:linePitch="312"/>
        </w:sectPr>
      </w:pPr>
    </w:p>
    <w:p w:rsidR="00EE1C68" w:rsidRPr="005F6E65" w:rsidRDefault="00EE1C68" w:rsidP="00EE1C68">
      <w:pPr>
        <w:keepNext/>
        <w:keepLines/>
        <w:spacing w:line="580" w:lineRule="exact"/>
        <w:jc w:val="left"/>
        <w:outlineLvl w:val="0"/>
        <w:rPr>
          <w:rFonts w:ascii="??" w:hAnsi="??"/>
          <w:bCs/>
          <w:kern w:val="44"/>
        </w:rPr>
      </w:pPr>
      <w:r w:rsidRPr="005F6E65">
        <w:rPr>
          <w:rFonts w:ascii="宋体" w:hAnsi="宋体" w:hint="eastAsia"/>
          <w:bCs/>
          <w:kern w:val="0"/>
          <w:sz w:val="24"/>
          <w:szCs w:val="44"/>
        </w:rPr>
        <w:lastRenderedPageBreak/>
        <w:t>附件</w:t>
      </w:r>
      <w:r w:rsidRPr="005F6E65">
        <w:rPr>
          <w:rFonts w:ascii="宋体" w:hAnsi="宋体"/>
          <w:bCs/>
          <w:kern w:val="0"/>
          <w:sz w:val="24"/>
          <w:szCs w:val="44"/>
        </w:rPr>
        <w:t>1</w:t>
      </w:r>
      <w:r w:rsidRPr="005F6E65">
        <w:rPr>
          <w:rFonts w:ascii="宋体" w:hAnsi="宋体" w:hint="eastAsia"/>
          <w:bCs/>
          <w:kern w:val="0"/>
          <w:sz w:val="24"/>
          <w:szCs w:val="44"/>
        </w:rPr>
        <w:t>：</w:t>
      </w:r>
    </w:p>
    <w:p w:rsidR="00EE1C68" w:rsidRPr="005F6E65" w:rsidRDefault="00EE1C68" w:rsidP="00EE1C68">
      <w:pPr>
        <w:spacing w:beforeLines="50" w:before="156" w:afterLines="50" w:after="156" w:line="440" w:lineRule="exact"/>
        <w:jc w:val="center"/>
        <w:rPr>
          <w:rFonts w:ascii="黑体" w:eastAsia="黑体" w:hAnsi="宋体"/>
          <w:sz w:val="32"/>
          <w:szCs w:val="32"/>
        </w:rPr>
      </w:pPr>
      <w:r w:rsidRPr="005F6E65">
        <w:rPr>
          <w:rFonts w:ascii="黑体" w:eastAsia="黑体" w:hAnsi="宋体" w:hint="eastAsia"/>
          <w:sz w:val="32"/>
          <w:szCs w:val="32"/>
        </w:rPr>
        <w:t>连续三个涨跌停板后平仓数量的分配方法及步骤</w:t>
      </w:r>
      <w:r w:rsidRPr="005F6E65">
        <w:rPr>
          <w:rFonts w:ascii="黑体" w:eastAsia="黑体" w:hAnsi="宋体"/>
          <w:sz w:val="32"/>
          <w:szCs w:val="32"/>
        </w:rPr>
        <w:t xml:space="preserve"> </w:t>
      </w:r>
    </w:p>
    <w:tbl>
      <w:tblPr>
        <w:tblW w:w="9923" w:type="dxa"/>
        <w:tblInd w:w="-459" w:type="dxa"/>
        <w:tblLook w:val="04A0" w:firstRow="1" w:lastRow="0" w:firstColumn="1" w:lastColumn="0" w:noHBand="0" w:noVBand="1"/>
      </w:tblPr>
      <w:tblGrid>
        <w:gridCol w:w="851"/>
        <w:gridCol w:w="2268"/>
        <w:gridCol w:w="1417"/>
        <w:gridCol w:w="1985"/>
        <w:gridCol w:w="1701"/>
        <w:gridCol w:w="1701"/>
      </w:tblGrid>
      <w:tr w:rsidR="00EE1C68" w:rsidRPr="00244C8B" w:rsidTr="000452FF">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color w:val="000000"/>
                <w:kern w:val="0"/>
              </w:rPr>
            </w:pPr>
            <w:r w:rsidRPr="00244C8B">
              <w:rPr>
                <w:rFonts w:cs="宋体" w:hint="eastAsia"/>
                <w:color w:val="000000"/>
                <w:kern w:val="0"/>
              </w:rPr>
              <w:t>步骤</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hint="eastAsia"/>
                <w:color w:val="000000"/>
                <w:kern w:val="0"/>
              </w:rPr>
            </w:pPr>
            <w:r w:rsidRPr="00244C8B">
              <w:rPr>
                <w:rFonts w:cs="宋体" w:hint="eastAsia"/>
                <w:color w:val="000000"/>
                <w:kern w:val="0"/>
              </w:rPr>
              <w:t>分配条件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hint="eastAsia"/>
                <w:color w:val="000000"/>
                <w:kern w:val="0"/>
              </w:rPr>
            </w:pPr>
            <w:r w:rsidRPr="00244C8B">
              <w:rPr>
                <w:rFonts w:cs="宋体" w:hint="eastAsia"/>
                <w:color w:val="000000"/>
                <w:kern w:val="0"/>
              </w:rPr>
              <w:t>分配数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hint="eastAsia"/>
                <w:color w:val="000000"/>
                <w:kern w:val="0"/>
              </w:rPr>
            </w:pPr>
            <w:r w:rsidRPr="00244C8B">
              <w:rPr>
                <w:rFonts w:cs="宋体" w:hint="eastAsia"/>
                <w:color w:val="000000"/>
                <w:kern w:val="0"/>
              </w:rPr>
              <w:t>分配比例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hint="eastAsia"/>
                <w:color w:val="000000"/>
                <w:kern w:val="0"/>
              </w:rPr>
            </w:pPr>
            <w:r w:rsidRPr="00244C8B">
              <w:rPr>
                <w:rFonts w:cs="宋体" w:hint="eastAsia"/>
                <w:color w:val="000000"/>
                <w:kern w:val="0"/>
              </w:rPr>
              <w:t>分配对象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cs="宋体" w:hint="eastAsia"/>
                <w:color w:val="000000"/>
                <w:kern w:val="0"/>
              </w:rPr>
            </w:pPr>
            <w:r w:rsidRPr="00244C8B">
              <w:rPr>
                <w:rFonts w:cs="宋体" w:hint="eastAsia"/>
                <w:color w:val="000000"/>
                <w:kern w:val="0"/>
              </w:rPr>
              <w:t>结果</w:t>
            </w:r>
          </w:p>
        </w:tc>
      </w:tr>
      <w:tr w:rsidR="00EE1C68" w:rsidRPr="00244C8B" w:rsidTr="000452FF">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以上的投机持仓≥申报平仓数量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申报平仓数量</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申报平仓数量</w:t>
            </w:r>
            <w:r w:rsidRPr="00244C8B">
              <w:rPr>
                <w:rFonts w:ascii="宋体" w:hAnsi="宋体" w:cs="宋体" w:hint="eastAsia"/>
                <w:color w:val="000000"/>
                <w:kern w:val="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的投机客户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分配完毕</w:t>
            </w:r>
          </w:p>
        </w:tc>
      </w:tr>
      <w:tr w:rsidR="00EE1C68" w:rsidRPr="00244C8B" w:rsidTr="000452FF">
        <w:trPr>
          <w:trHeight w:val="517"/>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以上的投机持仓</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689"/>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以上的投机持仓</w:t>
            </w:r>
            <w:r w:rsidRPr="00244C8B">
              <w:rPr>
                <w:rFonts w:ascii="宋体" w:hAnsi="宋体" w:cs="宋体" w:hint="eastAsia"/>
                <w:color w:val="000000"/>
                <w:kern w:val="0"/>
              </w:rPr>
              <w:t>&lt;</w:t>
            </w:r>
            <w:r w:rsidRPr="00244C8B">
              <w:rPr>
                <w:rFonts w:cs="宋体" w:hint="eastAsia"/>
                <w:color w:val="000000"/>
                <w:kern w:val="0"/>
              </w:rPr>
              <w:t>申报平仓数量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以上的投机持仓数量</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6%</w:t>
            </w:r>
            <w:r w:rsidRPr="00244C8B">
              <w:rPr>
                <w:rFonts w:cs="宋体" w:hint="eastAsia"/>
                <w:color w:val="000000"/>
                <w:kern w:val="0"/>
              </w:rPr>
              <w:t>以上的投机持仓</w:t>
            </w:r>
            <w:r w:rsidRPr="00244C8B">
              <w:rPr>
                <w:rFonts w:ascii="宋体" w:hAnsi="宋体" w:cs="宋体" w:hint="eastAsia"/>
                <w:color w:val="000000"/>
                <w:kern w:val="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申报平仓客户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有剩余再按步骤</w:t>
            </w:r>
            <w:r w:rsidRPr="00244C8B">
              <w:rPr>
                <w:rFonts w:ascii="宋体" w:hAnsi="宋体" w:cs="宋体" w:hint="eastAsia"/>
                <w:color w:val="000000"/>
                <w:kern w:val="0"/>
              </w:rPr>
              <w:t>3,4</w:t>
            </w:r>
            <w:r w:rsidRPr="00244C8B">
              <w:rPr>
                <w:rFonts w:cs="宋体" w:hint="eastAsia"/>
                <w:color w:val="000000"/>
                <w:kern w:val="0"/>
              </w:rPr>
              <w:t>分配</w:t>
            </w:r>
          </w:p>
        </w:tc>
      </w:tr>
      <w:tr w:rsidR="00EE1C68" w:rsidRPr="00244C8B" w:rsidTr="000452FF">
        <w:trPr>
          <w:trHeight w:val="365"/>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申报平仓数量</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613"/>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以上的投机持仓≥剩余申报平仓数量</w:t>
            </w:r>
            <w:r w:rsidRPr="00244C8B">
              <w:rPr>
                <w:rFonts w:ascii="宋体" w:hAnsi="宋体" w:cs="宋体" w:hint="eastAsia"/>
                <w:color w:val="000000"/>
                <w:kern w:val="0"/>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1</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 xml:space="preserve">1/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的投机客户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分配完毕</w:t>
            </w:r>
          </w:p>
        </w:tc>
      </w:tr>
      <w:tr w:rsidR="00EE1C68" w:rsidRPr="00244C8B" w:rsidTr="000452FF">
        <w:trPr>
          <w:trHeight w:val="652"/>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以上的投机持仓</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602"/>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以上的投机持仓</w:t>
            </w:r>
            <w:r w:rsidRPr="00244C8B">
              <w:rPr>
                <w:rFonts w:ascii="宋体" w:hAnsi="宋体" w:cs="宋体" w:hint="eastAsia"/>
                <w:color w:val="000000"/>
                <w:kern w:val="0"/>
              </w:rPr>
              <w:t>&lt;</w:t>
            </w:r>
            <w:r w:rsidRPr="00244C8B">
              <w:rPr>
                <w:rFonts w:cs="宋体" w:hint="eastAsia"/>
                <w:color w:val="000000"/>
                <w:kern w:val="0"/>
              </w:rPr>
              <w:t>剩余申报平仓数量</w:t>
            </w:r>
            <w:r w:rsidRPr="00244C8B">
              <w:rPr>
                <w:rFonts w:ascii="宋体" w:hAnsi="宋体" w:cs="宋体" w:hint="eastAsia"/>
                <w:color w:val="000000"/>
                <w:kern w:val="0"/>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以上的投机持仓数量</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3%</w:t>
            </w:r>
            <w:r w:rsidRPr="00244C8B">
              <w:rPr>
                <w:rFonts w:cs="宋体" w:hint="eastAsia"/>
                <w:color w:val="000000"/>
                <w:kern w:val="0"/>
              </w:rPr>
              <w:t>以上的投机持仓</w:t>
            </w:r>
            <w:r w:rsidRPr="00244C8B">
              <w:rPr>
                <w:rFonts w:ascii="宋体" w:hAnsi="宋体" w:cs="宋体" w:hint="eastAsia"/>
                <w:color w:val="000000"/>
                <w:kern w:val="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有剩余再按步骤</w:t>
            </w:r>
            <w:r w:rsidRPr="00244C8B">
              <w:rPr>
                <w:rFonts w:ascii="宋体" w:hAnsi="宋体" w:cs="宋体" w:hint="eastAsia"/>
                <w:color w:val="000000"/>
                <w:kern w:val="0"/>
              </w:rPr>
              <w:t>5,6</w:t>
            </w:r>
            <w:r w:rsidRPr="00244C8B">
              <w:rPr>
                <w:rFonts w:cs="宋体" w:hint="eastAsia"/>
                <w:color w:val="000000"/>
                <w:kern w:val="0"/>
              </w:rPr>
              <w:t>分配</w:t>
            </w:r>
          </w:p>
        </w:tc>
      </w:tr>
      <w:tr w:rsidR="00EE1C68" w:rsidRPr="00244C8B" w:rsidTr="000452FF">
        <w:trPr>
          <w:trHeight w:val="540"/>
        </w:trPr>
        <w:tc>
          <w:tcPr>
            <w:tcW w:w="851" w:type="dxa"/>
            <w:vMerge/>
            <w:tcBorders>
              <w:top w:val="nil"/>
              <w:left w:val="single" w:sz="4" w:space="0" w:color="auto"/>
              <w:bottom w:val="single" w:sz="4" w:space="0" w:color="auto"/>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auto"/>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auto"/>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1</w:t>
            </w:r>
          </w:p>
        </w:tc>
        <w:tc>
          <w:tcPr>
            <w:tcW w:w="1701" w:type="dxa"/>
            <w:vMerge/>
            <w:tcBorders>
              <w:top w:val="nil"/>
              <w:left w:val="single" w:sz="4" w:space="0" w:color="auto"/>
              <w:bottom w:val="single" w:sz="4" w:space="0" w:color="auto"/>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auto"/>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54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单位净持仓盈利大于零的投机持仓≥剩余申报平仓数量</w:t>
            </w:r>
            <w:r w:rsidRPr="00244C8B">
              <w:rPr>
                <w:rFonts w:ascii="宋体" w:hAnsi="宋体" w:cs="宋体" w:hint="eastAsia"/>
                <w:color w:val="000000"/>
                <w:kern w:val="0"/>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 xml:space="preserve">2/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单位净持仓盈利的投机客户</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分配完毕</w:t>
            </w:r>
          </w:p>
        </w:tc>
      </w:tr>
      <w:tr w:rsidR="00EE1C68" w:rsidRPr="00244C8B" w:rsidTr="000452FF">
        <w:trPr>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单位净持仓盈利大于零的投机持仓</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698"/>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单位净持仓盈利大于零的投机持仓</w:t>
            </w:r>
            <w:r w:rsidRPr="00244C8B">
              <w:rPr>
                <w:rFonts w:ascii="宋体" w:hAnsi="宋体" w:cs="宋体" w:hint="eastAsia"/>
                <w:color w:val="000000"/>
                <w:kern w:val="0"/>
              </w:rPr>
              <w:t>&lt;</w:t>
            </w:r>
            <w:r w:rsidRPr="00244C8B">
              <w:rPr>
                <w:rFonts w:cs="宋体" w:hint="eastAsia"/>
                <w:color w:val="000000"/>
                <w:kern w:val="0"/>
              </w:rPr>
              <w:t>剩余申报平仓数量</w:t>
            </w:r>
            <w:r w:rsidRPr="00244C8B">
              <w:rPr>
                <w:rFonts w:ascii="宋体" w:hAnsi="宋体" w:cs="宋体" w:hint="eastAsia"/>
                <w:color w:val="000000"/>
                <w:kern w:val="0"/>
              </w:rPr>
              <w:t>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单位净持仓盈利大于零的投机持仓数量</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单位净持仓盈利大于零的投机持仓</w:t>
            </w:r>
            <w:r w:rsidRPr="00244C8B">
              <w:rPr>
                <w:rFonts w:ascii="宋体" w:hAnsi="宋体" w:cs="宋体" w:hint="eastAsia"/>
                <w:color w:val="000000"/>
                <w:kern w:val="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有剩余再按步骤</w:t>
            </w:r>
            <w:r w:rsidRPr="00244C8B">
              <w:rPr>
                <w:rFonts w:ascii="宋体" w:hAnsi="宋体" w:cs="宋体" w:hint="eastAsia"/>
                <w:color w:val="000000"/>
                <w:kern w:val="0"/>
              </w:rPr>
              <w:t>7,8</w:t>
            </w:r>
            <w:r w:rsidRPr="00244C8B">
              <w:rPr>
                <w:rFonts w:cs="宋体" w:hint="eastAsia"/>
                <w:color w:val="000000"/>
                <w:kern w:val="0"/>
              </w:rPr>
              <w:t>分配</w:t>
            </w:r>
          </w:p>
        </w:tc>
      </w:tr>
      <w:tr w:rsidR="00EE1C68" w:rsidRPr="00244C8B" w:rsidTr="000452FF">
        <w:trPr>
          <w:trHeight w:val="540"/>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2</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689"/>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7%</w:t>
            </w:r>
            <w:r w:rsidRPr="00244C8B">
              <w:rPr>
                <w:rFonts w:cs="宋体" w:hint="eastAsia"/>
                <w:color w:val="000000"/>
                <w:kern w:val="0"/>
              </w:rPr>
              <w:t>的保值持仓数量≥剩余申报平仓数量</w:t>
            </w:r>
            <w:r w:rsidRPr="00244C8B">
              <w:rPr>
                <w:rFonts w:ascii="宋体" w:hAnsi="宋体" w:cs="宋体" w:hint="eastAsia"/>
                <w:color w:val="000000"/>
                <w:kern w:val="0"/>
              </w:rPr>
              <w:t>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3</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 xml:space="preserve">3/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净持仓盈利</w:t>
            </w:r>
            <w:r w:rsidRPr="00244C8B">
              <w:rPr>
                <w:rFonts w:ascii="宋体" w:hAnsi="宋体" w:cs="宋体" w:hint="eastAsia"/>
                <w:color w:val="000000"/>
                <w:kern w:val="0"/>
              </w:rPr>
              <w:t>7%</w:t>
            </w:r>
            <w:r w:rsidRPr="00244C8B">
              <w:rPr>
                <w:rFonts w:cs="宋体" w:hint="eastAsia"/>
                <w:color w:val="000000"/>
                <w:kern w:val="0"/>
              </w:rPr>
              <w:t>的保值客户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分配完毕</w:t>
            </w:r>
            <w:r w:rsidRPr="00244C8B">
              <w:rPr>
                <w:rFonts w:ascii="宋体" w:hAnsi="宋体" w:cs="宋体" w:hint="eastAsia"/>
                <w:color w:val="000000"/>
                <w:kern w:val="0"/>
              </w:rPr>
              <w:t xml:space="preserve"> </w:t>
            </w:r>
          </w:p>
        </w:tc>
      </w:tr>
      <w:tr w:rsidR="00EE1C68" w:rsidRPr="00244C8B" w:rsidTr="000452FF">
        <w:trPr>
          <w:trHeight w:val="608"/>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7%</w:t>
            </w:r>
            <w:r w:rsidRPr="00244C8B">
              <w:rPr>
                <w:rFonts w:cs="宋体" w:hint="eastAsia"/>
                <w:color w:val="000000"/>
                <w:kern w:val="0"/>
              </w:rPr>
              <w:t>的保值持仓数量</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adjustRightInd w:val="0"/>
              <w:snapToGrid w:val="0"/>
              <w:jc w:val="left"/>
              <w:rPr>
                <w:rFonts w:cs="宋体"/>
                <w:color w:val="000000"/>
                <w:kern w:val="0"/>
              </w:rPr>
            </w:pPr>
          </w:p>
        </w:tc>
      </w:tr>
      <w:tr w:rsidR="00EE1C68" w:rsidRPr="00244C8B" w:rsidTr="000452FF">
        <w:trPr>
          <w:trHeight w:val="702"/>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jc w:val="center"/>
              <w:rPr>
                <w:rFonts w:ascii="宋体" w:hAnsi="宋体" w:cs="宋体" w:hint="eastAsia"/>
                <w:color w:val="000000"/>
                <w:kern w:val="0"/>
              </w:rPr>
            </w:pPr>
            <w:r w:rsidRPr="00244C8B">
              <w:rPr>
                <w:rFonts w:ascii="宋体" w:hAnsi="宋体" w:cs="宋体" w:hint="eastAsia"/>
                <w:color w:val="000000"/>
                <w:kern w:val="0"/>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7%</w:t>
            </w:r>
            <w:r w:rsidRPr="00244C8B">
              <w:rPr>
                <w:rFonts w:cs="宋体" w:hint="eastAsia"/>
                <w:color w:val="000000"/>
                <w:kern w:val="0"/>
              </w:rPr>
              <w:t>的保值持仓数量</w:t>
            </w:r>
            <w:r w:rsidRPr="00244C8B">
              <w:rPr>
                <w:rFonts w:ascii="宋体" w:hAnsi="宋体" w:cs="宋体" w:hint="eastAsia"/>
                <w:color w:val="000000"/>
                <w:kern w:val="0"/>
              </w:rPr>
              <w:t>&lt;</w:t>
            </w:r>
            <w:r w:rsidRPr="00244C8B">
              <w:rPr>
                <w:rFonts w:cs="宋体" w:hint="eastAsia"/>
                <w:color w:val="000000"/>
                <w:kern w:val="0"/>
              </w:rPr>
              <w:t>剩余申报平仓数量</w:t>
            </w:r>
            <w:r w:rsidRPr="00244C8B">
              <w:rPr>
                <w:rFonts w:ascii="宋体" w:hAnsi="宋体" w:cs="宋体" w:hint="eastAsia"/>
                <w:color w:val="000000"/>
                <w:kern w:val="0"/>
              </w:rPr>
              <w:t>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7%</w:t>
            </w:r>
            <w:r w:rsidRPr="00244C8B">
              <w:rPr>
                <w:rFonts w:cs="宋体" w:hint="eastAsia"/>
                <w:color w:val="000000"/>
                <w:kern w:val="0"/>
              </w:rPr>
              <w:t>的保值持仓数量</w:t>
            </w: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单位净持仓盈利</w:t>
            </w:r>
            <w:r w:rsidRPr="00244C8B">
              <w:rPr>
                <w:rFonts w:ascii="宋体" w:hAnsi="宋体" w:cs="宋体" w:hint="eastAsia"/>
                <w:color w:val="000000"/>
                <w:kern w:val="0"/>
              </w:rPr>
              <w:t>7%</w:t>
            </w:r>
            <w:r w:rsidRPr="00244C8B">
              <w:rPr>
                <w:rFonts w:cs="宋体" w:hint="eastAsia"/>
                <w:color w:val="000000"/>
                <w:kern w:val="0"/>
              </w:rPr>
              <w:t>的保值持仓数量</w:t>
            </w:r>
            <w:r w:rsidRPr="00244C8B">
              <w:rPr>
                <w:rFonts w:ascii="宋体" w:hAnsi="宋体" w:cs="宋体" w:hint="eastAsia"/>
                <w:color w:val="000000"/>
                <w:kern w:val="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剩余申报平仓客户</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1C68" w:rsidRPr="00244C8B" w:rsidRDefault="00EE1C68" w:rsidP="000452FF">
            <w:pPr>
              <w:widowControl/>
              <w:adjustRightInd w:val="0"/>
              <w:snapToGrid w:val="0"/>
              <w:rPr>
                <w:rFonts w:cs="宋体" w:hint="eastAsia"/>
                <w:color w:val="000000"/>
                <w:kern w:val="0"/>
              </w:rPr>
            </w:pPr>
            <w:r w:rsidRPr="00244C8B">
              <w:rPr>
                <w:rFonts w:cs="宋体" w:hint="eastAsia"/>
                <w:color w:val="000000"/>
                <w:kern w:val="0"/>
              </w:rPr>
              <w:t>有剩余不再分配</w:t>
            </w:r>
          </w:p>
        </w:tc>
      </w:tr>
      <w:tr w:rsidR="00EE1C68" w:rsidRPr="00244C8B" w:rsidTr="000452FF">
        <w:trPr>
          <w:trHeight w:val="540"/>
        </w:trPr>
        <w:tc>
          <w:tcPr>
            <w:tcW w:w="85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jc w:val="left"/>
              <w:rPr>
                <w:rFonts w:ascii="宋体" w:hAnsi="宋体" w:cs="宋体"/>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jc w:val="left"/>
              <w:rPr>
                <w:rFonts w:cs="宋体"/>
                <w:color w:val="000000"/>
                <w:kern w:val="0"/>
              </w:rPr>
            </w:pPr>
          </w:p>
        </w:tc>
        <w:tc>
          <w:tcPr>
            <w:tcW w:w="1417"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jc w:val="left"/>
              <w:rPr>
                <w:rFonts w:cs="宋体"/>
                <w:color w:val="000000"/>
                <w:kern w:val="0"/>
              </w:rPr>
            </w:pPr>
          </w:p>
        </w:tc>
        <w:tc>
          <w:tcPr>
            <w:tcW w:w="1985" w:type="dxa"/>
            <w:tcBorders>
              <w:top w:val="nil"/>
              <w:left w:val="nil"/>
              <w:bottom w:val="single" w:sz="4" w:space="0" w:color="auto"/>
              <w:right w:val="single" w:sz="4" w:space="0" w:color="auto"/>
            </w:tcBorders>
            <w:shd w:val="clear" w:color="auto" w:fill="auto"/>
            <w:vAlign w:val="center"/>
            <w:hideMark/>
          </w:tcPr>
          <w:p w:rsidR="00EE1C68" w:rsidRPr="00244C8B" w:rsidRDefault="00EE1C68" w:rsidP="000452FF">
            <w:pPr>
              <w:widowControl/>
              <w:rPr>
                <w:rFonts w:cs="宋体" w:hint="eastAsia"/>
                <w:color w:val="000000"/>
                <w:kern w:val="0"/>
              </w:rPr>
            </w:pPr>
            <w:r w:rsidRPr="00244C8B">
              <w:rPr>
                <w:rFonts w:cs="宋体" w:hint="eastAsia"/>
                <w:color w:val="000000"/>
                <w:kern w:val="0"/>
              </w:rPr>
              <w:t>剩余申报平仓数量</w:t>
            </w:r>
            <w:r w:rsidRPr="00244C8B">
              <w:rPr>
                <w:rFonts w:ascii="宋体" w:hAnsi="宋体" w:cs="宋体" w:hint="eastAsia"/>
                <w:color w:val="000000"/>
                <w:kern w:val="0"/>
              </w:rPr>
              <w:t>3</w:t>
            </w: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jc w:val="left"/>
              <w:rPr>
                <w:rFonts w:cs="宋体"/>
                <w:color w:val="000000"/>
                <w:kern w:val="0"/>
              </w:rPr>
            </w:pPr>
          </w:p>
        </w:tc>
        <w:tc>
          <w:tcPr>
            <w:tcW w:w="1701" w:type="dxa"/>
            <w:vMerge/>
            <w:tcBorders>
              <w:top w:val="nil"/>
              <w:left w:val="single" w:sz="4" w:space="0" w:color="auto"/>
              <w:bottom w:val="single" w:sz="4" w:space="0" w:color="000000"/>
              <w:right w:val="single" w:sz="4" w:space="0" w:color="auto"/>
            </w:tcBorders>
            <w:vAlign w:val="center"/>
            <w:hideMark/>
          </w:tcPr>
          <w:p w:rsidR="00EE1C68" w:rsidRPr="00244C8B" w:rsidRDefault="00EE1C68" w:rsidP="000452FF">
            <w:pPr>
              <w:widowControl/>
              <w:jc w:val="left"/>
              <w:rPr>
                <w:rFonts w:cs="宋体"/>
                <w:color w:val="000000"/>
                <w:kern w:val="0"/>
              </w:rPr>
            </w:pPr>
          </w:p>
        </w:tc>
      </w:tr>
    </w:tbl>
    <w:p w:rsidR="00EE1C68" w:rsidRPr="005F6E65" w:rsidRDefault="00EE1C68" w:rsidP="00EE1C68">
      <w:r w:rsidRPr="005F6E65">
        <w:rPr>
          <w:rFonts w:ascii="宋体" w:hAnsi="宋体" w:hint="eastAsia"/>
        </w:rPr>
        <w:t>注</w:t>
      </w:r>
      <w:r w:rsidRPr="005F6E65">
        <w:rPr>
          <w:rFonts w:ascii="宋体" w:hAnsi="宋体"/>
        </w:rPr>
        <w:t xml:space="preserve">: 1. </w:t>
      </w:r>
      <w:r w:rsidRPr="005F6E65">
        <w:rPr>
          <w:rFonts w:ascii="宋体" w:hAnsi="宋体" w:hint="eastAsia"/>
        </w:rPr>
        <w:t>剩余申报平仓数量</w:t>
      </w:r>
      <w:r w:rsidRPr="005F6E65">
        <w:rPr>
          <w:rFonts w:ascii="宋体" w:hAnsi="宋体"/>
        </w:rPr>
        <w:t>1=</w:t>
      </w:r>
      <w:r w:rsidRPr="005F6E65">
        <w:rPr>
          <w:rFonts w:ascii="宋体" w:hAnsi="宋体" w:hint="eastAsia"/>
        </w:rPr>
        <w:t>申报平仓数量</w:t>
      </w:r>
      <w:r w:rsidRPr="005F6E65">
        <w:rPr>
          <w:rFonts w:ascii="宋体"/>
        </w:rPr>
        <w:t>-</w:t>
      </w:r>
      <w:r w:rsidRPr="005F6E65">
        <w:rPr>
          <w:rFonts w:ascii="宋体" w:hAnsi="宋体" w:hint="eastAsia"/>
        </w:rPr>
        <w:t>单位净持仓盈利</w:t>
      </w:r>
      <w:r w:rsidRPr="005F6E65">
        <w:rPr>
          <w:rFonts w:ascii="宋体" w:hAnsi="宋体"/>
        </w:rPr>
        <w:t>6%</w:t>
      </w:r>
      <w:r w:rsidRPr="005F6E65">
        <w:rPr>
          <w:rFonts w:ascii="宋体" w:hAnsi="宋体" w:hint="eastAsia"/>
        </w:rPr>
        <w:t>以上的投机持仓数量；</w:t>
      </w:r>
      <w:r w:rsidRPr="005F6E65">
        <w:rPr>
          <w:rFonts w:ascii="宋体"/>
        </w:rPr>
        <w:br/>
      </w:r>
      <w:r w:rsidRPr="005F6E65">
        <w:rPr>
          <w:rFonts w:ascii="宋体" w:hAnsi="宋体"/>
        </w:rPr>
        <w:t xml:space="preserve">   2. </w:t>
      </w:r>
      <w:r w:rsidRPr="005F6E65">
        <w:rPr>
          <w:rFonts w:ascii="宋体" w:hAnsi="宋体" w:hint="eastAsia"/>
        </w:rPr>
        <w:t>剩余申报平仓数量</w:t>
      </w:r>
      <w:r w:rsidRPr="005F6E65">
        <w:rPr>
          <w:rFonts w:ascii="宋体" w:hAnsi="宋体"/>
        </w:rPr>
        <w:t>2=</w:t>
      </w:r>
      <w:r w:rsidRPr="005F6E65">
        <w:rPr>
          <w:rFonts w:ascii="宋体" w:hAnsi="宋体" w:hint="eastAsia"/>
        </w:rPr>
        <w:t>剩余申报平仓数量</w:t>
      </w:r>
      <w:r w:rsidRPr="005F6E65">
        <w:rPr>
          <w:rFonts w:ascii="宋体" w:hAnsi="宋体"/>
        </w:rPr>
        <w:t>1-</w:t>
      </w:r>
      <w:r w:rsidRPr="005F6E65">
        <w:rPr>
          <w:rFonts w:ascii="宋体" w:hAnsi="宋体" w:hint="eastAsia"/>
        </w:rPr>
        <w:t>单位净持仓盈利</w:t>
      </w:r>
      <w:r w:rsidRPr="005F6E65">
        <w:rPr>
          <w:rFonts w:ascii="宋体" w:hAnsi="宋体"/>
        </w:rPr>
        <w:t>3%</w:t>
      </w:r>
      <w:r w:rsidRPr="005F6E65">
        <w:rPr>
          <w:rFonts w:ascii="宋体" w:hAnsi="宋体" w:hint="eastAsia"/>
        </w:rPr>
        <w:t>以上的投机持仓数量；</w:t>
      </w:r>
      <w:r w:rsidRPr="005F6E65">
        <w:rPr>
          <w:rFonts w:ascii="宋体"/>
        </w:rPr>
        <w:br/>
      </w:r>
      <w:r w:rsidRPr="005F6E65">
        <w:rPr>
          <w:rFonts w:ascii="宋体" w:hAnsi="宋体"/>
        </w:rPr>
        <w:t xml:space="preserve">   3. </w:t>
      </w:r>
      <w:r w:rsidRPr="005F6E65">
        <w:rPr>
          <w:rFonts w:ascii="宋体" w:hAnsi="宋体" w:hint="eastAsia"/>
        </w:rPr>
        <w:t>剩余申报平仓数量</w:t>
      </w:r>
      <w:r w:rsidRPr="005F6E65">
        <w:rPr>
          <w:rFonts w:ascii="宋体" w:hAnsi="宋体"/>
        </w:rPr>
        <w:t>3=</w:t>
      </w:r>
      <w:r w:rsidRPr="005F6E65">
        <w:rPr>
          <w:rFonts w:ascii="宋体" w:hAnsi="宋体" w:hint="eastAsia"/>
        </w:rPr>
        <w:t>剩余申报平仓数量</w:t>
      </w:r>
      <w:r w:rsidRPr="005F6E65">
        <w:rPr>
          <w:rFonts w:ascii="宋体" w:hAnsi="宋体"/>
        </w:rPr>
        <w:t>2-</w:t>
      </w:r>
      <w:r w:rsidRPr="005F6E65">
        <w:rPr>
          <w:rFonts w:ascii="宋体" w:hAnsi="宋体" w:hint="eastAsia"/>
        </w:rPr>
        <w:t>单位净持仓盈利大于零的投机持仓数量；</w:t>
      </w:r>
      <w:r w:rsidRPr="005F6E65">
        <w:rPr>
          <w:rFonts w:ascii="宋体"/>
        </w:rPr>
        <w:br/>
      </w:r>
      <w:r w:rsidRPr="005F6E65">
        <w:rPr>
          <w:rFonts w:ascii="宋体" w:hAnsi="宋体"/>
        </w:rPr>
        <w:t xml:space="preserve">   4. </w:t>
      </w:r>
      <w:r w:rsidRPr="005F6E65">
        <w:rPr>
          <w:rFonts w:ascii="宋体" w:hAnsi="宋体" w:hint="eastAsia"/>
        </w:rPr>
        <w:t>投机持仓数量和保值持仓数量是指在平仓范围内盈利客户的持仓数量。</w:t>
      </w:r>
      <w:r w:rsidRPr="005F6E65">
        <w:rPr>
          <w:rFonts w:ascii="宋体" w:hAnsi="宋体"/>
        </w:rPr>
        <w:t xml:space="preserve"> </w:t>
      </w:r>
    </w:p>
    <w:p w:rsidR="00EE1C68" w:rsidRPr="005F6E65" w:rsidRDefault="00EE1C68" w:rsidP="00EE1C68"/>
    <w:p w:rsidR="00EE1C68" w:rsidRPr="005F6E65" w:rsidRDefault="00EE1C68" w:rsidP="00EE1C68">
      <w:pPr>
        <w:sectPr w:rsidR="00EE1C68" w:rsidRPr="005F6E65">
          <w:pgSz w:w="11906" w:h="16838"/>
          <w:pgMar w:top="1440" w:right="1800" w:bottom="1440" w:left="1800" w:header="851" w:footer="992" w:gutter="0"/>
          <w:cols w:space="425"/>
          <w:docGrid w:type="lines" w:linePitch="312"/>
        </w:sectPr>
      </w:pPr>
    </w:p>
    <w:p w:rsidR="00EE1C68" w:rsidRPr="005F6E65" w:rsidRDefault="00EE1C68" w:rsidP="00EE1C68">
      <w:pPr>
        <w:rPr>
          <w:sz w:val="24"/>
          <w:szCs w:val="24"/>
        </w:rPr>
      </w:pPr>
      <w:r w:rsidRPr="005F6E65">
        <w:rPr>
          <w:rFonts w:hint="eastAsia"/>
          <w:sz w:val="24"/>
          <w:szCs w:val="24"/>
        </w:rPr>
        <w:lastRenderedPageBreak/>
        <w:t>附件</w:t>
      </w:r>
      <w:r w:rsidRPr="005F6E65">
        <w:rPr>
          <w:sz w:val="24"/>
          <w:szCs w:val="24"/>
        </w:rPr>
        <w:t>2</w:t>
      </w:r>
      <w:r w:rsidRPr="005F6E65">
        <w:rPr>
          <w:rFonts w:hint="eastAsia"/>
          <w:sz w:val="24"/>
          <w:szCs w:val="24"/>
        </w:rPr>
        <w:t>：</w:t>
      </w:r>
    </w:p>
    <w:p w:rsidR="00EE1C68" w:rsidRPr="000E5662" w:rsidRDefault="00EE1C68" w:rsidP="00EE1C68">
      <w:pPr>
        <w:spacing w:before="100" w:beforeAutospacing="1" w:after="100" w:afterAutospacing="1"/>
        <w:jc w:val="center"/>
        <w:rPr>
          <w:rFonts w:ascii="黑体" w:eastAsia="黑体" w:hAnsi="宋体"/>
          <w:sz w:val="32"/>
          <w:szCs w:val="32"/>
        </w:rPr>
      </w:pPr>
      <w:r w:rsidRPr="000E5662">
        <w:rPr>
          <w:rFonts w:ascii="黑体" w:eastAsia="黑体" w:hAnsi="宋体" w:hint="eastAsia"/>
          <w:sz w:val="32"/>
          <w:szCs w:val="32"/>
        </w:rPr>
        <w:t>大连商品交易所非期货公司会员大户报告表</w:t>
      </w:r>
    </w:p>
    <w:p w:rsidR="00EE1C68" w:rsidRPr="005F6E65" w:rsidRDefault="00EE1C68" w:rsidP="00EE1C68">
      <w:pPr>
        <w:spacing w:line="440" w:lineRule="exact"/>
        <w:rPr>
          <w:rFonts w:ascii="宋体"/>
        </w:rPr>
      </w:pPr>
      <w:r w:rsidRPr="005F6E65">
        <w:rPr>
          <w:rFonts w:ascii="宋体" w:hAnsi="宋体" w:hint="eastAsia"/>
        </w:rPr>
        <w:t>会员名称：</w:t>
      </w:r>
      <w:r w:rsidRPr="005F6E65">
        <w:rPr>
          <w:rFonts w:ascii="宋体" w:hAnsi="宋体"/>
        </w:rPr>
        <w:t xml:space="preserve">         </w:t>
      </w:r>
      <w:r w:rsidRPr="005F6E65">
        <w:rPr>
          <w:rFonts w:ascii="宋体" w:hAnsi="宋体" w:hint="eastAsia"/>
        </w:rPr>
        <w:t>会员编号：</w:t>
      </w:r>
      <w:r w:rsidRPr="005F6E65">
        <w:rPr>
          <w:rFonts w:ascii="宋体" w:hAnsi="宋体"/>
        </w:rPr>
        <w:t xml:space="preserve">                                      </w:t>
      </w:r>
      <w:r w:rsidRPr="005F6E65">
        <w:rPr>
          <w:rFonts w:ascii="宋体" w:hAnsi="宋体" w:hint="eastAsia"/>
        </w:rPr>
        <w:t>年</w:t>
      </w:r>
      <w:r w:rsidRPr="005F6E65">
        <w:rPr>
          <w:rFonts w:ascii="宋体" w:hAnsi="宋体"/>
        </w:rPr>
        <w:t xml:space="preserve">   </w:t>
      </w:r>
      <w:r w:rsidRPr="005F6E65">
        <w:rPr>
          <w:rFonts w:ascii="宋体" w:hAnsi="宋体" w:hint="eastAsia"/>
        </w:rPr>
        <w:t>月</w:t>
      </w:r>
      <w:r w:rsidRPr="005F6E65">
        <w:rPr>
          <w:rFonts w:ascii="宋体" w:hAnsi="宋体"/>
        </w:rPr>
        <w:t xml:space="preserve">   </w:t>
      </w:r>
      <w:r w:rsidRPr="005F6E65">
        <w:rPr>
          <w:rFonts w:ascii="宋体" w:hAnsi="宋体" w:hint="eastAsia"/>
        </w:rPr>
        <w:t>日</w:t>
      </w:r>
      <w:r w:rsidRPr="005F6E65">
        <w:rPr>
          <w:rFonts w:ascii="宋体" w:hAnsi="宋体"/>
        </w:rPr>
        <w:t xml:space="preserve"> </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851"/>
        <w:gridCol w:w="850"/>
        <w:gridCol w:w="851"/>
        <w:gridCol w:w="850"/>
        <w:gridCol w:w="709"/>
        <w:gridCol w:w="712"/>
        <w:gridCol w:w="629"/>
        <w:gridCol w:w="610"/>
        <w:gridCol w:w="867"/>
        <w:gridCol w:w="793"/>
        <w:gridCol w:w="804"/>
        <w:gridCol w:w="804"/>
        <w:gridCol w:w="804"/>
      </w:tblGrid>
      <w:tr w:rsidR="00EE1C68" w:rsidRPr="005F6E65" w:rsidTr="000452FF">
        <w:trPr>
          <w:trHeight w:val="255"/>
          <w:jc w:val="center"/>
        </w:trPr>
        <w:tc>
          <w:tcPr>
            <w:tcW w:w="694" w:type="dxa"/>
            <w:vMerge w:val="restart"/>
          </w:tcPr>
          <w:p w:rsidR="00EE1C68" w:rsidRPr="005F6E65" w:rsidRDefault="00EE1C68" w:rsidP="000452FF">
            <w:pPr>
              <w:spacing w:line="440" w:lineRule="exact"/>
              <w:jc w:val="center"/>
              <w:rPr>
                <w:rFonts w:ascii="宋体"/>
              </w:rPr>
            </w:pPr>
            <w:r w:rsidRPr="005F6E65">
              <w:rPr>
                <w:rFonts w:ascii="宋体" w:hAnsi="宋体" w:hint="eastAsia"/>
              </w:rPr>
              <w:t>合约代码</w:t>
            </w:r>
          </w:p>
        </w:tc>
        <w:tc>
          <w:tcPr>
            <w:tcW w:w="1701" w:type="dxa"/>
            <w:gridSpan w:val="2"/>
          </w:tcPr>
          <w:p w:rsidR="00EE1C68" w:rsidRPr="005F6E65" w:rsidRDefault="00EE1C68" w:rsidP="000452FF">
            <w:pPr>
              <w:spacing w:line="440" w:lineRule="exact"/>
              <w:jc w:val="center"/>
              <w:rPr>
                <w:rFonts w:ascii="宋体"/>
              </w:rPr>
            </w:pPr>
            <w:r w:rsidRPr="005F6E65">
              <w:rPr>
                <w:rFonts w:ascii="宋体" w:hAnsi="宋体" w:hint="eastAsia"/>
              </w:rPr>
              <w:t>期货合约</w:t>
            </w:r>
          </w:p>
        </w:tc>
        <w:tc>
          <w:tcPr>
            <w:tcW w:w="3122" w:type="dxa"/>
            <w:gridSpan w:val="4"/>
          </w:tcPr>
          <w:p w:rsidR="00EE1C68" w:rsidRPr="005F6E65" w:rsidRDefault="00EE1C68" w:rsidP="000452FF">
            <w:pPr>
              <w:spacing w:line="440" w:lineRule="exact"/>
              <w:jc w:val="center"/>
              <w:rPr>
                <w:rFonts w:ascii="宋体"/>
              </w:rPr>
            </w:pPr>
            <w:r w:rsidRPr="005F6E65">
              <w:rPr>
                <w:rFonts w:ascii="宋体" w:hAnsi="宋体" w:hint="eastAsia"/>
              </w:rPr>
              <w:t>期权合约</w:t>
            </w:r>
          </w:p>
        </w:tc>
        <w:tc>
          <w:tcPr>
            <w:tcW w:w="629" w:type="dxa"/>
            <w:vMerge w:val="restart"/>
          </w:tcPr>
          <w:p w:rsidR="00EE1C68" w:rsidRPr="005F6E65" w:rsidRDefault="00EE1C68" w:rsidP="000452FF">
            <w:pPr>
              <w:spacing w:line="440" w:lineRule="exact"/>
              <w:jc w:val="center"/>
              <w:rPr>
                <w:rFonts w:ascii="宋体"/>
              </w:rPr>
            </w:pPr>
            <w:r w:rsidRPr="005F6E65">
              <w:rPr>
                <w:rFonts w:ascii="宋体" w:hAnsi="宋体" w:hint="eastAsia"/>
              </w:rPr>
              <w:t>持仓</w:t>
            </w:r>
          </w:p>
          <w:p w:rsidR="00EE1C68" w:rsidRPr="005F6E65" w:rsidRDefault="00EE1C68" w:rsidP="000452FF">
            <w:pPr>
              <w:spacing w:line="440" w:lineRule="exact"/>
              <w:jc w:val="center"/>
              <w:rPr>
                <w:rFonts w:ascii="宋体"/>
              </w:rPr>
            </w:pPr>
            <w:r w:rsidRPr="005F6E65">
              <w:rPr>
                <w:rFonts w:ascii="宋体" w:hAnsi="宋体" w:hint="eastAsia"/>
              </w:rPr>
              <w:t>性质</w:t>
            </w:r>
          </w:p>
        </w:tc>
        <w:tc>
          <w:tcPr>
            <w:tcW w:w="610" w:type="dxa"/>
            <w:vMerge w:val="restart"/>
          </w:tcPr>
          <w:p w:rsidR="00EE1C68" w:rsidRPr="005F6E65" w:rsidRDefault="00EE1C68" w:rsidP="000452FF">
            <w:pPr>
              <w:spacing w:line="440" w:lineRule="exact"/>
              <w:jc w:val="center"/>
              <w:rPr>
                <w:rFonts w:ascii="宋体"/>
              </w:rPr>
            </w:pPr>
            <w:r w:rsidRPr="005F6E65">
              <w:rPr>
                <w:rFonts w:ascii="宋体" w:hAnsi="宋体" w:hint="eastAsia"/>
              </w:rPr>
              <w:t>建仓</w:t>
            </w:r>
          </w:p>
          <w:p w:rsidR="00EE1C68" w:rsidRPr="005F6E65" w:rsidRDefault="00EE1C68" w:rsidP="000452FF">
            <w:pPr>
              <w:spacing w:line="440" w:lineRule="exact"/>
              <w:jc w:val="center"/>
              <w:rPr>
                <w:rFonts w:ascii="宋体"/>
              </w:rPr>
            </w:pPr>
            <w:r w:rsidRPr="005F6E65">
              <w:rPr>
                <w:rFonts w:ascii="宋体" w:hAnsi="宋体" w:hint="eastAsia"/>
              </w:rPr>
              <w:t>时间</w:t>
            </w:r>
          </w:p>
        </w:tc>
        <w:tc>
          <w:tcPr>
            <w:tcW w:w="867" w:type="dxa"/>
            <w:vMerge w:val="restart"/>
          </w:tcPr>
          <w:p w:rsidR="00EE1C68" w:rsidRPr="005F6E65" w:rsidRDefault="00EE1C68" w:rsidP="000452FF">
            <w:pPr>
              <w:spacing w:line="440" w:lineRule="exact"/>
              <w:jc w:val="center"/>
              <w:rPr>
                <w:rFonts w:ascii="宋体"/>
              </w:rPr>
            </w:pPr>
            <w:r w:rsidRPr="005F6E65">
              <w:rPr>
                <w:rFonts w:ascii="宋体" w:hAnsi="宋体" w:hint="eastAsia"/>
              </w:rPr>
              <w:t>持仓占用</w:t>
            </w:r>
          </w:p>
          <w:p w:rsidR="00EE1C68" w:rsidRPr="005F6E65" w:rsidRDefault="00EE1C68" w:rsidP="000452FF">
            <w:pPr>
              <w:spacing w:line="440" w:lineRule="exact"/>
              <w:jc w:val="center"/>
              <w:rPr>
                <w:rFonts w:ascii="宋体"/>
              </w:rPr>
            </w:pPr>
            <w:r w:rsidRPr="005F6E65">
              <w:rPr>
                <w:rFonts w:ascii="宋体" w:hAnsi="宋体" w:hint="eastAsia"/>
              </w:rPr>
              <w:t>保证金</w:t>
            </w:r>
          </w:p>
        </w:tc>
        <w:tc>
          <w:tcPr>
            <w:tcW w:w="793" w:type="dxa"/>
            <w:vMerge w:val="restart"/>
          </w:tcPr>
          <w:p w:rsidR="00EE1C68" w:rsidRPr="005F6E65" w:rsidRDefault="00EE1C68" w:rsidP="000452FF">
            <w:pPr>
              <w:spacing w:line="440" w:lineRule="exact"/>
              <w:jc w:val="center"/>
              <w:rPr>
                <w:rFonts w:ascii="宋体"/>
              </w:rPr>
            </w:pPr>
            <w:r w:rsidRPr="005F6E65">
              <w:rPr>
                <w:rFonts w:ascii="宋体" w:hAnsi="宋体" w:hint="eastAsia"/>
              </w:rPr>
              <w:t>可动用</w:t>
            </w:r>
          </w:p>
          <w:p w:rsidR="00EE1C68" w:rsidRPr="005F6E65" w:rsidRDefault="00EE1C68" w:rsidP="000452FF">
            <w:pPr>
              <w:spacing w:line="440" w:lineRule="exact"/>
              <w:jc w:val="center"/>
              <w:rPr>
                <w:rFonts w:ascii="宋体"/>
              </w:rPr>
            </w:pPr>
            <w:r w:rsidRPr="005F6E65">
              <w:rPr>
                <w:rFonts w:ascii="宋体" w:hAnsi="宋体" w:hint="eastAsia"/>
              </w:rPr>
              <w:t>资金</w:t>
            </w:r>
          </w:p>
        </w:tc>
        <w:tc>
          <w:tcPr>
            <w:tcW w:w="804" w:type="dxa"/>
            <w:vMerge w:val="restart"/>
          </w:tcPr>
          <w:p w:rsidR="00EE1C68" w:rsidRPr="005F6E65" w:rsidRDefault="00EE1C68" w:rsidP="000452FF">
            <w:pPr>
              <w:spacing w:line="440" w:lineRule="exact"/>
              <w:jc w:val="center"/>
              <w:rPr>
                <w:rFonts w:ascii="宋体"/>
              </w:rPr>
            </w:pPr>
            <w:r w:rsidRPr="005F6E65">
              <w:rPr>
                <w:rFonts w:ascii="宋体" w:hAnsi="宋体" w:hint="eastAsia"/>
              </w:rPr>
              <w:t>预报交割数量</w:t>
            </w:r>
          </w:p>
        </w:tc>
        <w:tc>
          <w:tcPr>
            <w:tcW w:w="804" w:type="dxa"/>
            <w:vMerge w:val="restart"/>
          </w:tcPr>
          <w:p w:rsidR="00EE1C68" w:rsidRPr="005F6E65" w:rsidRDefault="00EE1C68" w:rsidP="000452FF">
            <w:pPr>
              <w:spacing w:line="440" w:lineRule="exact"/>
              <w:jc w:val="center"/>
              <w:rPr>
                <w:rFonts w:ascii="宋体"/>
              </w:rPr>
            </w:pPr>
            <w:r w:rsidRPr="005F6E65">
              <w:rPr>
                <w:rFonts w:ascii="宋体" w:hAnsi="宋体" w:hint="eastAsia"/>
              </w:rPr>
              <w:t>申请交割数量</w:t>
            </w:r>
          </w:p>
        </w:tc>
        <w:tc>
          <w:tcPr>
            <w:tcW w:w="804" w:type="dxa"/>
            <w:vMerge w:val="restart"/>
          </w:tcPr>
          <w:p w:rsidR="00EE1C68" w:rsidRPr="005F6E65" w:rsidRDefault="00EE1C68" w:rsidP="000452FF">
            <w:pPr>
              <w:spacing w:line="440" w:lineRule="exact"/>
              <w:jc w:val="center"/>
              <w:rPr>
                <w:rFonts w:ascii="宋体"/>
              </w:rPr>
            </w:pPr>
            <w:r w:rsidRPr="005F6E65">
              <w:rPr>
                <w:rFonts w:ascii="宋体" w:hAnsi="宋体" w:hint="eastAsia"/>
              </w:rPr>
              <w:t>持仓</w:t>
            </w:r>
          </w:p>
          <w:p w:rsidR="00EE1C68" w:rsidRPr="005F6E65" w:rsidRDefault="00EE1C68" w:rsidP="000452FF">
            <w:pPr>
              <w:spacing w:line="440" w:lineRule="exact"/>
              <w:jc w:val="center"/>
              <w:rPr>
                <w:rFonts w:ascii="宋体"/>
              </w:rPr>
            </w:pPr>
            <w:r w:rsidRPr="005F6E65">
              <w:rPr>
                <w:rFonts w:ascii="宋体" w:hAnsi="宋体" w:hint="eastAsia"/>
              </w:rPr>
              <w:t>意向</w:t>
            </w:r>
          </w:p>
        </w:tc>
      </w:tr>
      <w:tr w:rsidR="00EE1C68" w:rsidRPr="005F6E65" w:rsidTr="000452FF">
        <w:trPr>
          <w:trHeight w:val="615"/>
          <w:jc w:val="center"/>
        </w:trPr>
        <w:tc>
          <w:tcPr>
            <w:tcW w:w="694" w:type="dxa"/>
            <w:vMerge/>
          </w:tcPr>
          <w:p w:rsidR="00EE1C68" w:rsidRPr="005F6E65" w:rsidRDefault="00EE1C68" w:rsidP="000452FF">
            <w:pPr>
              <w:spacing w:line="440" w:lineRule="exact"/>
              <w:jc w:val="center"/>
              <w:rPr>
                <w:rFonts w:ascii="宋体"/>
              </w:rPr>
            </w:pPr>
          </w:p>
        </w:tc>
        <w:tc>
          <w:tcPr>
            <w:tcW w:w="851" w:type="dxa"/>
          </w:tcPr>
          <w:p w:rsidR="00EE1C68" w:rsidRPr="005F6E65" w:rsidRDefault="00EE1C68" w:rsidP="000452FF">
            <w:pPr>
              <w:spacing w:line="440" w:lineRule="exact"/>
              <w:jc w:val="center"/>
              <w:rPr>
                <w:rFonts w:ascii="宋体"/>
              </w:rPr>
            </w:pPr>
            <w:r w:rsidRPr="005F6E65">
              <w:rPr>
                <w:rFonts w:ascii="宋体" w:hAnsi="宋体" w:hint="eastAsia"/>
              </w:rPr>
              <w:t>买持仓量</w:t>
            </w:r>
          </w:p>
        </w:tc>
        <w:tc>
          <w:tcPr>
            <w:tcW w:w="850" w:type="dxa"/>
          </w:tcPr>
          <w:p w:rsidR="00EE1C68" w:rsidRPr="005F6E65" w:rsidRDefault="00EE1C68" w:rsidP="000452FF">
            <w:pPr>
              <w:spacing w:line="440" w:lineRule="exact"/>
              <w:jc w:val="center"/>
              <w:rPr>
                <w:rFonts w:ascii="宋体"/>
              </w:rPr>
            </w:pPr>
            <w:r w:rsidRPr="005F6E65">
              <w:rPr>
                <w:rFonts w:ascii="宋体" w:hAnsi="宋体" w:hint="eastAsia"/>
              </w:rPr>
              <w:t>卖持仓量</w:t>
            </w:r>
          </w:p>
        </w:tc>
        <w:tc>
          <w:tcPr>
            <w:tcW w:w="851" w:type="dxa"/>
          </w:tcPr>
          <w:p w:rsidR="00EE1C68" w:rsidRPr="005F6E65" w:rsidRDefault="00EE1C68" w:rsidP="000452FF">
            <w:pPr>
              <w:spacing w:line="440" w:lineRule="exact"/>
              <w:jc w:val="center"/>
              <w:rPr>
                <w:rFonts w:ascii="宋体"/>
              </w:rPr>
            </w:pPr>
            <w:r w:rsidRPr="005F6E65">
              <w:rPr>
                <w:rFonts w:ascii="宋体" w:hAnsi="宋体" w:hint="eastAsia"/>
              </w:rPr>
              <w:t>看涨期权买持仓</w:t>
            </w:r>
          </w:p>
        </w:tc>
        <w:tc>
          <w:tcPr>
            <w:tcW w:w="850" w:type="dxa"/>
          </w:tcPr>
          <w:p w:rsidR="00EE1C68" w:rsidRPr="005F6E65" w:rsidRDefault="00EE1C68" w:rsidP="000452FF">
            <w:pPr>
              <w:spacing w:line="440" w:lineRule="exact"/>
              <w:jc w:val="center"/>
              <w:rPr>
                <w:rFonts w:ascii="宋体"/>
              </w:rPr>
            </w:pPr>
            <w:r w:rsidRPr="005F6E65">
              <w:rPr>
                <w:rFonts w:ascii="宋体" w:hAnsi="宋体" w:hint="eastAsia"/>
              </w:rPr>
              <w:t>看跌期权卖持仓</w:t>
            </w:r>
          </w:p>
        </w:tc>
        <w:tc>
          <w:tcPr>
            <w:tcW w:w="709" w:type="dxa"/>
          </w:tcPr>
          <w:p w:rsidR="00EE1C68" w:rsidRPr="005F6E65" w:rsidRDefault="00EE1C68" w:rsidP="000452FF">
            <w:pPr>
              <w:spacing w:line="440" w:lineRule="exact"/>
              <w:jc w:val="center"/>
              <w:rPr>
                <w:rFonts w:ascii="宋体"/>
              </w:rPr>
            </w:pPr>
            <w:r w:rsidRPr="005F6E65">
              <w:rPr>
                <w:rFonts w:ascii="宋体" w:hAnsi="宋体" w:hint="eastAsia"/>
              </w:rPr>
              <w:t>看涨期权卖持仓</w:t>
            </w:r>
          </w:p>
        </w:tc>
        <w:tc>
          <w:tcPr>
            <w:tcW w:w="712" w:type="dxa"/>
          </w:tcPr>
          <w:p w:rsidR="00EE1C68" w:rsidRPr="005F6E65" w:rsidRDefault="00EE1C68" w:rsidP="000452FF">
            <w:pPr>
              <w:spacing w:line="440" w:lineRule="exact"/>
              <w:jc w:val="center"/>
              <w:rPr>
                <w:rFonts w:ascii="宋体"/>
              </w:rPr>
            </w:pPr>
            <w:r w:rsidRPr="005F6E65">
              <w:rPr>
                <w:rFonts w:ascii="宋体" w:hAnsi="宋体" w:hint="eastAsia"/>
              </w:rPr>
              <w:t>看跌期权买持仓</w:t>
            </w:r>
          </w:p>
        </w:tc>
        <w:tc>
          <w:tcPr>
            <w:tcW w:w="629" w:type="dxa"/>
            <w:vMerge/>
          </w:tcPr>
          <w:p w:rsidR="00EE1C68" w:rsidRPr="005F6E65" w:rsidRDefault="00EE1C68" w:rsidP="000452FF">
            <w:pPr>
              <w:spacing w:line="440" w:lineRule="exact"/>
              <w:jc w:val="center"/>
              <w:rPr>
                <w:rFonts w:ascii="宋体"/>
              </w:rPr>
            </w:pPr>
          </w:p>
        </w:tc>
        <w:tc>
          <w:tcPr>
            <w:tcW w:w="610" w:type="dxa"/>
            <w:vMerge/>
          </w:tcPr>
          <w:p w:rsidR="00EE1C68" w:rsidRPr="005F6E65" w:rsidRDefault="00EE1C68" w:rsidP="000452FF">
            <w:pPr>
              <w:spacing w:line="440" w:lineRule="exact"/>
              <w:jc w:val="center"/>
              <w:rPr>
                <w:rFonts w:ascii="宋体"/>
              </w:rPr>
            </w:pPr>
          </w:p>
        </w:tc>
        <w:tc>
          <w:tcPr>
            <w:tcW w:w="867" w:type="dxa"/>
            <w:vMerge/>
          </w:tcPr>
          <w:p w:rsidR="00EE1C68" w:rsidRPr="005F6E65" w:rsidRDefault="00EE1C68" w:rsidP="000452FF">
            <w:pPr>
              <w:spacing w:line="440" w:lineRule="exact"/>
              <w:jc w:val="center"/>
              <w:rPr>
                <w:rFonts w:ascii="宋体"/>
              </w:rPr>
            </w:pPr>
          </w:p>
        </w:tc>
        <w:tc>
          <w:tcPr>
            <w:tcW w:w="793" w:type="dxa"/>
            <w:vMerge/>
          </w:tcPr>
          <w:p w:rsidR="00EE1C68" w:rsidRPr="005F6E65" w:rsidRDefault="00EE1C68" w:rsidP="000452FF">
            <w:pPr>
              <w:spacing w:line="440" w:lineRule="exact"/>
              <w:jc w:val="center"/>
              <w:rPr>
                <w:rFonts w:ascii="宋体"/>
              </w:rPr>
            </w:pPr>
          </w:p>
        </w:tc>
        <w:tc>
          <w:tcPr>
            <w:tcW w:w="804" w:type="dxa"/>
            <w:vMerge/>
          </w:tcPr>
          <w:p w:rsidR="00EE1C68" w:rsidRPr="005F6E65" w:rsidRDefault="00EE1C68" w:rsidP="000452FF">
            <w:pPr>
              <w:spacing w:line="440" w:lineRule="exact"/>
              <w:jc w:val="center"/>
              <w:rPr>
                <w:rFonts w:ascii="宋体"/>
              </w:rPr>
            </w:pPr>
          </w:p>
        </w:tc>
        <w:tc>
          <w:tcPr>
            <w:tcW w:w="804" w:type="dxa"/>
            <w:vMerge/>
          </w:tcPr>
          <w:p w:rsidR="00EE1C68" w:rsidRPr="005F6E65" w:rsidRDefault="00EE1C68" w:rsidP="000452FF">
            <w:pPr>
              <w:spacing w:line="440" w:lineRule="exact"/>
              <w:jc w:val="center"/>
              <w:rPr>
                <w:rFonts w:ascii="宋体"/>
              </w:rPr>
            </w:pPr>
          </w:p>
        </w:tc>
        <w:tc>
          <w:tcPr>
            <w:tcW w:w="804" w:type="dxa"/>
            <w:vMerge/>
          </w:tcPr>
          <w:p w:rsidR="00EE1C68" w:rsidRPr="005F6E65" w:rsidRDefault="00EE1C68" w:rsidP="000452FF">
            <w:pPr>
              <w:spacing w:line="440" w:lineRule="exact"/>
              <w:jc w:val="center"/>
              <w:rPr>
                <w:rFonts w:ascii="宋体"/>
              </w:rPr>
            </w:pPr>
          </w:p>
        </w:tc>
      </w:tr>
      <w:tr w:rsidR="00EE1C68" w:rsidRPr="005F6E65" w:rsidTr="000452FF">
        <w:trPr>
          <w:trHeight w:val="435"/>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val="restart"/>
          </w:tcPr>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tc>
        <w:tc>
          <w:tcPr>
            <w:tcW w:w="804" w:type="dxa"/>
            <w:vMerge w:val="restart"/>
          </w:tcPr>
          <w:p w:rsidR="00EE1C68" w:rsidRPr="005F6E65" w:rsidRDefault="00EE1C68" w:rsidP="000452FF">
            <w:pPr>
              <w:spacing w:line="440" w:lineRule="exact"/>
              <w:rPr>
                <w:rFonts w:ascii="宋体"/>
              </w:rPr>
            </w:pPr>
            <w:r w:rsidRPr="005F6E65">
              <w:rPr>
                <w:rFonts w:ascii="宋体" w:hAnsi="宋体" w:hint="eastAsia"/>
              </w:rPr>
              <w:t>仅有期权持仓无需填写此项</w:t>
            </w:r>
          </w:p>
        </w:tc>
        <w:tc>
          <w:tcPr>
            <w:tcW w:w="804" w:type="dxa"/>
            <w:vMerge w:val="restart"/>
          </w:tcPr>
          <w:p w:rsidR="00EE1C68" w:rsidRPr="005F6E65" w:rsidRDefault="00EE1C68" w:rsidP="000452FF">
            <w:pPr>
              <w:spacing w:line="440" w:lineRule="exact"/>
              <w:rPr>
                <w:rFonts w:ascii="宋体"/>
              </w:rPr>
            </w:pPr>
            <w:r w:rsidRPr="005F6E65">
              <w:rPr>
                <w:rFonts w:ascii="宋体" w:hAnsi="宋体" w:hint="eastAsia"/>
              </w:rPr>
              <w:t>仅有期权持仓无需填写此项</w:t>
            </w:r>
          </w:p>
        </w:tc>
        <w:tc>
          <w:tcPr>
            <w:tcW w:w="804" w:type="dxa"/>
            <w:vMerge w:val="restart"/>
          </w:tcPr>
          <w:p w:rsidR="00EE1C68" w:rsidRPr="005F6E65" w:rsidRDefault="00EE1C68" w:rsidP="000452FF">
            <w:pPr>
              <w:spacing w:line="440" w:lineRule="exact"/>
              <w:rPr>
                <w:rFonts w:ascii="宋体"/>
              </w:rPr>
            </w:pPr>
          </w:p>
        </w:tc>
      </w:tr>
      <w:tr w:rsidR="00EE1C68" w:rsidRPr="005F6E65" w:rsidTr="000452FF">
        <w:trPr>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trHeight w:val="225"/>
          <w:jc w:val="center"/>
        </w:trPr>
        <w:tc>
          <w:tcPr>
            <w:tcW w:w="694"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trHeight w:val="225"/>
          <w:jc w:val="center"/>
        </w:trPr>
        <w:tc>
          <w:tcPr>
            <w:tcW w:w="694" w:type="dxa"/>
          </w:tcPr>
          <w:p w:rsidR="00EE1C68" w:rsidRPr="005F6E65" w:rsidRDefault="00EE1C68" w:rsidP="000452FF">
            <w:pPr>
              <w:spacing w:line="440" w:lineRule="exact"/>
              <w:jc w:val="center"/>
              <w:rPr>
                <w:rFonts w:ascii="宋体"/>
              </w:rPr>
            </w:pPr>
            <w:r w:rsidRPr="005F6E65">
              <w:rPr>
                <w:rFonts w:ascii="宋体" w:hAnsi="宋体" w:hint="eastAsia"/>
              </w:rPr>
              <w:t>合计</w:t>
            </w:r>
          </w:p>
        </w:tc>
        <w:tc>
          <w:tcPr>
            <w:tcW w:w="851" w:type="dxa"/>
          </w:tcPr>
          <w:p w:rsidR="00EE1C68" w:rsidRPr="005F6E65" w:rsidRDefault="00EE1C68" w:rsidP="000452FF">
            <w:pPr>
              <w:spacing w:line="440" w:lineRule="exact"/>
              <w:rPr>
                <w:rFonts w:ascii="宋体"/>
              </w:rPr>
            </w:pPr>
            <w:r w:rsidRPr="005F6E65">
              <w:rPr>
                <w:rFonts w:ascii="宋体"/>
              </w:rPr>
              <w:t> </w:t>
            </w:r>
          </w:p>
        </w:tc>
        <w:tc>
          <w:tcPr>
            <w:tcW w:w="850" w:type="dxa"/>
          </w:tcPr>
          <w:p w:rsidR="00EE1C68" w:rsidRPr="005F6E65" w:rsidRDefault="00EE1C68" w:rsidP="000452FF">
            <w:pPr>
              <w:spacing w:line="440" w:lineRule="exact"/>
              <w:rPr>
                <w:rFonts w:ascii="宋体"/>
              </w:rPr>
            </w:pPr>
            <w:r w:rsidRPr="005F6E65">
              <w:rPr>
                <w:rFonts w:ascii="宋体"/>
              </w:rPr>
              <w:t> </w:t>
            </w:r>
          </w:p>
        </w:tc>
        <w:tc>
          <w:tcPr>
            <w:tcW w:w="851" w:type="dxa"/>
          </w:tcPr>
          <w:p w:rsidR="00EE1C68" w:rsidRPr="005F6E65" w:rsidRDefault="00EE1C68" w:rsidP="000452FF">
            <w:pPr>
              <w:spacing w:line="440" w:lineRule="exact"/>
              <w:jc w:val="center"/>
              <w:rPr>
                <w:rFonts w:ascii="宋体"/>
              </w:rPr>
            </w:pPr>
          </w:p>
        </w:tc>
        <w:tc>
          <w:tcPr>
            <w:tcW w:w="850" w:type="dxa"/>
          </w:tcPr>
          <w:p w:rsidR="00EE1C68" w:rsidRPr="005F6E65" w:rsidRDefault="00EE1C68" w:rsidP="000452FF">
            <w:pPr>
              <w:spacing w:line="440" w:lineRule="exact"/>
              <w:jc w:val="center"/>
              <w:rPr>
                <w:rFonts w:ascii="宋体"/>
              </w:rPr>
            </w:pPr>
          </w:p>
        </w:tc>
        <w:tc>
          <w:tcPr>
            <w:tcW w:w="709" w:type="dxa"/>
          </w:tcPr>
          <w:p w:rsidR="00EE1C68" w:rsidRPr="005F6E65" w:rsidRDefault="00EE1C68" w:rsidP="000452FF">
            <w:pPr>
              <w:spacing w:line="440" w:lineRule="exact"/>
              <w:jc w:val="center"/>
              <w:rPr>
                <w:rFonts w:ascii="宋体"/>
              </w:rPr>
            </w:pPr>
          </w:p>
        </w:tc>
        <w:tc>
          <w:tcPr>
            <w:tcW w:w="712" w:type="dxa"/>
          </w:tcPr>
          <w:p w:rsidR="00EE1C68" w:rsidRPr="005F6E65" w:rsidRDefault="00EE1C68" w:rsidP="000452FF">
            <w:pPr>
              <w:spacing w:line="440" w:lineRule="exact"/>
              <w:jc w:val="center"/>
              <w:rPr>
                <w:rFonts w:ascii="宋体"/>
              </w:rPr>
            </w:pPr>
          </w:p>
        </w:tc>
        <w:tc>
          <w:tcPr>
            <w:tcW w:w="629" w:type="dxa"/>
          </w:tcPr>
          <w:p w:rsidR="00EE1C68" w:rsidRPr="005F6E65" w:rsidRDefault="00EE1C68" w:rsidP="000452FF">
            <w:pPr>
              <w:spacing w:line="440" w:lineRule="exact"/>
              <w:rPr>
                <w:rFonts w:ascii="宋体"/>
              </w:rPr>
            </w:pPr>
            <w:r w:rsidRPr="005F6E65">
              <w:rPr>
                <w:rFonts w:ascii="宋体"/>
              </w:rPr>
              <w:t> </w:t>
            </w:r>
          </w:p>
        </w:tc>
        <w:tc>
          <w:tcPr>
            <w:tcW w:w="610" w:type="dxa"/>
          </w:tcPr>
          <w:p w:rsidR="00EE1C68" w:rsidRPr="005F6E65" w:rsidRDefault="00EE1C68" w:rsidP="000452FF">
            <w:pPr>
              <w:spacing w:line="440" w:lineRule="exact"/>
              <w:rPr>
                <w:rFonts w:ascii="宋体"/>
              </w:rPr>
            </w:pPr>
            <w:r w:rsidRPr="005F6E65">
              <w:rPr>
                <w:rFonts w:ascii="宋体"/>
              </w:rPr>
              <w:t> </w:t>
            </w:r>
          </w:p>
        </w:tc>
        <w:tc>
          <w:tcPr>
            <w:tcW w:w="867" w:type="dxa"/>
          </w:tcPr>
          <w:p w:rsidR="00EE1C68" w:rsidRPr="005F6E65" w:rsidRDefault="00EE1C68" w:rsidP="000452FF">
            <w:pPr>
              <w:spacing w:line="440" w:lineRule="exact"/>
              <w:rPr>
                <w:rFonts w:ascii="宋体"/>
              </w:rPr>
            </w:pPr>
            <w:r w:rsidRPr="005F6E65">
              <w:rPr>
                <w:rFonts w:ascii="宋体"/>
              </w:rPr>
              <w:t> </w:t>
            </w:r>
          </w:p>
        </w:tc>
        <w:tc>
          <w:tcPr>
            <w:tcW w:w="793"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c>
          <w:tcPr>
            <w:tcW w:w="804" w:type="dxa"/>
            <w:vMerge/>
          </w:tcPr>
          <w:p w:rsidR="00EE1C68" w:rsidRPr="005F6E65" w:rsidRDefault="00EE1C68" w:rsidP="000452FF">
            <w:pPr>
              <w:rPr>
                <w:rFonts w:ascii="宋体"/>
              </w:rPr>
            </w:pPr>
          </w:p>
        </w:tc>
      </w:tr>
      <w:tr w:rsidR="00EE1C68" w:rsidRPr="005F6E65" w:rsidTr="000452FF">
        <w:trPr>
          <w:trHeight w:val="990"/>
          <w:jc w:val="center"/>
        </w:trPr>
        <w:tc>
          <w:tcPr>
            <w:tcW w:w="694" w:type="dxa"/>
          </w:tcPr>
          <w:p w:rsidR="00EE1C68" w:rsidRPr="005F6E65" w:rsidRDefault="00EE1C68" w:rsidP="000452FF">
            <w:pPr>
              <w:spacing w:line="440" w:lineRule="exact"/>
              <w:jc w:val="center"/>
              <w:rPr>
                <w:rFonts w:ascii="宋体"/>
              </w:rPr>
            </w:pPr>
            <w:r w:rsidRPr="005F6E65">
              <w:rPr>
                <w:rFonts w:ascii="宋体" w:hAnsi="宋体" w:hint="eastAsia"/>
              </w:rPr>
              <w:t>资金来源说明</w:t>
            </w:r>
          </w:p>
        </w:tc>
        <w:tc>
          <w:tcPr>
            <w:tcW w:w="10134" w:type="dxa"/>
            <w:gridSpan w:val="13"/>
          </w:tcPr>
          <w:p w:rsidR="00EE1C68" w:rsidRPr="005F6E65" w:rsidRDefault="00EE1C68" w:rsidP="000452FF">
            <w:pPr>
              <w:spacing w:line="440" w:lineRule="exact"/>
              <w:rPr>
                <w:rFonts w:ascii="宋体"/>
              </w:rPr>
            </w:pPr>
            <w:r w:rsidRPr="005F6E65">
              <w:rPr>
                <w:rFonts w:ascii="宋体"/>
              </w:rPr>
              <w:t> </w:t>
            </w:r>
          </w:p>
        </w:tc>
      </w:tr>
      <w:tr w:rsidR="00EE1C68" w:rsidRPr="005F6E65" w:rsidTr="000452FF">
        <w:trPr>
          <w:trHeight w:val="990"/>
          <w:jc w:val="center"/>
        </w:trPr>
        <w:tc>
          <w:tcPr>
            <w:tcW w:w="694" w:type="dxa"/>
          </w:tcPr>
          <w:p w:rsidR="00EE1C68" w:rsidRPr="005F6E65" w:rsidRDefault="00EE1C68" w:rsidP="000452FF">
            <w:pPr>
              <w:spacing w:line="440" w:lineRule="exact"/>
              <w:jc w:val="center"/>
              <w:rPr>
                <w:rFonts w:ascii="宋体"/>
              </w:rPr>
            </w:pPr>
            <w:r w:rsidRPr="005F6E65">
              <w:rPr>
                <w:rFonts w:ascii="宋体" w:hAnsi="宋体" w:hint="eastAsia"/>
              </w:rPr>
              <w:t>会员单位意见</w:t>
            </w:r>
          </w:p>
        </w:tc>
        <w:tc>
          <w:tcPr>
            <w:tcW w:w="10134" w:type="dxa"/>
            <w:gridSpan w:val="13"/>
          </w:tcPr>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r w:rsidRPr="005F6E65">
              <w:rPr>
                <w:rFonts w:ascii="宋体" w:hAnsi="宋体" w:hint="eastAsia"/>
              </w:rPr>
              <w:t>会员单位盖章：</w:t>
            </w:r>
            <w:r w:rsidRPr="005F6E65">
              <w:rPr>
                <w:rFonts w:ascii="宋体" w:hAnsi="宋体"/>
              </w:rPr>
              <w:t xml:space="preserve">                            </w:t>
            </w:r>
            <w:r w:rsidRPr="005F6E65">
              <w:rPr>
                <w:rFonts w:ascii="宋体" w:hAnsi="宋体" w:hint="eastAsia"/>
              </w:rPr>
              <w:t>负责人签字：</w:t>
            </w:r>
            <w:r w:rsidRPr="005F6E65">
              <w:rPr>
                <w:rFonts w:ascii="宋体" w:hAnsi="宋体"/>
              </w:rPr>
              <w:t xml:space="preserve">                             </w:t>
            </w:r>
            <w:r w:rsidRPr="005F6E65">
              <w:rPr>
                <w:rFonts w:ascii="宋体" w:hAnsi="宋体" w:hint="eastAsia"/>
              </w:rPr>
              <w:t>年</w:t>
            </w:r>
            <w:r w:rsidRPr="005F6E65">
              <w:rPr>
                <w:rFonts w:ascii="宋体" w:hAnsi="宋体"/>
              </w:rPr>
              <w:t xml:space="preserve">   </w:t>
            </w:r>
            <w:r w:rsidRPr="005F6E65">
              <w:rPr>
                <w:rFonts w:ascii="宋体" w:hAnsi="宋体" w:hint="eastAsia"/>
              </w:rPr>
              <w:t>月</w:t>
            </w:r>
            <w:r w:rsidRPr="005F6E65">
              <w:rPr>
                <w:rFonts w:ascii="宋体" w:hAnsi="宋体"/>
              </w:rPr>
              <w:t xml:space="preserve">   </w:t>
            </w:r>
            <w:r w:rsidRPr="005F6E65">
              <w:rPr>
                <w:rFonts w:ascii="宋体" w:hAnsi="宋体" w:hint="eastAsia"/>
              </w:rPr>
              <w:t>日</w:t>
            </w:r>
          </w:p>
        </w:tc>
      </w:tr>
      <w:tr w:rsidR="00EE1C68" w:rsidRPr="005F6E65" w:rsidTr="000452FF">
        <w:trPr>
          <w:trHeight w:val="810"/>
          <w:jc w:val="center"/>
        </w:trPr>
        <w:tc>
          <w:tcPr>
            <w:tcW w:w="694" w:type="dxa"/>
          </w:tcPr>
          <w:p w:rsidR="00EE1C68" w:rsidRPr="005F6E65" w:rsidRDefault="00EE1C68" w:rsidP="000452FF">
            <w:pPr>
              <w:spacing w:line="440" w:lineRule="exact"/>
              <w:jc w:val="center"/>
              <w:rPr>
                <w:rFonts w:ascii="宋体"/>
              </w:rPr>
            </w:pPr>
            <w:r w:rsidRPr="005F6E65">
              <w:rPr>
                <w:rFonts w:ascii="宋体" w:hAnsi="宋体" w:hint="eastAsia"/>
              </w:rPr>
              <w:t>交易所</w:t>
            </w:r>
            <w:r w:rsidRPr="005F6E65">
              <w:rPr>
                <w:rFonts w:ascii="宋体" w:hAnsi="宋体"/>
              </w:rPr>
              <w:t xml:space="preserve"> </w:t>
            </w:r>
          </w:p>
          <w:p w:rsidR="00EE1C68" w:rsidRPr="005F6E65" w:rsidRDefault="00EE1C68" w:rsidP="000452FF">
            <w:pPr>
              <w:spacing w:line="440" w:lineRule="exact"/>
              <w:jc w:val="center"/>
              <w:rPr>
                <w:rFonts w:ascii="宋体"/>
              </w:rPr>
            </w:pPr>
            <w:r w:rsidRPr="005F6E65">
              <w:rPr>
                <w:rFonts w:ascii="宋体" w:hAnsi="宋体" w:hint="eastAsia"/>
              </w:rPr>
              <w:t>意见</w:t>
            </w:r>
          </w:p>
        </w:tc>
        <w:tc>
          <w:tcPr>
            <w:tcW w:w="10134" w:type="dxa"/>
            <w:gridSpan w:val="13"/>
          </w:tcPr>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p>
          <w:p w:rsidR="00EE1C68" w:rsidRPr="005F6E65" w:rsidRDefault="00EE1C68" w:rsidP="000452FF">
            <w:pPr>
              <w:spacing w:line="440" w:lineRule="exact"/>
              <w:rPr>
                <w:rFonts w:ascii="宋体"/>
              </w:rPr>
            </w:pPr>
          </w:p>
          <w:p w:rsidR="00EE1C68" w:rsidRPr="005F6E65" w:rsidRDefault="00EE1C68" w:rsidP="000452FF">
            <w:pPr>
              <w:spacing w:line="440" w:lineRule="exact"/>
              <w:rPr>
                <w:rFonts w:ascii="宋体"/>
              </w:rPr>
            </w:pPr>
            <w:r w:rsidRPr="005F6E65">
              <w:rPr>
                <w:rFonts w:ascii="宋体" w:hAnsi="宋体" w:hint="eastAsia"/>
              </w:rPr>
              <w:t>交易所盖章：</w:t>
            </w:r>
            <w:r w:rsidRPr="005F6E65">
              <w:rPr>
                <w:rFonts w:ascii="宋体" w:hAnsi="宋体"/>
              </w:rPr>
              <w:t xml:space="preserve">                              </w:t>
            </w:r>
            <w:r w:rsidRPr="005F6E65">
              <w:rPr>
                <w:rFonts w:ascii="宋体" w:hAnsi="宋体" w:hint="eastAsia"/>
              </w:rPr>
              <w:t>负责人签字：</w:t>
            </w:r>
            <w:r w:rsidRPr="005F6E65">
              <w:rPr>
                <w:rFonts w:ascii="宋体" w:hAnsi="宋体"/>
              </w:rPr>
              <w:t xml:space="preserve">                             </w:t>
            </w:r>
            <w:r w:rsidRPr="005F6E65">
              <w:rPr>
                <w:rFonts w:ascii="宋体" w:hAnsi="宋体" w:hint="eastAsia"/>
              </w:rPr>
              <w:t>年</w:t>
            </w:r>
            <w:r w:rsidRPr="005F6E65">
              <w:rPr>
                <w:rFonts w:ascii="宋体" w:hAnsi="宋体"/>
              </w:rPr>
              <w:t xml:space="preserve">   </w:t>
            </w:r>
            <w:r w:rsidRPr="005F6E65">
              <w:rPr>
                <w:rFonts w:ascii="宋体" w:hAnsi="宋体" w:hint="eastAsia"/>
              </w:rPr>
              <w:t>月</w:t>
            </w:r>
            <w:r w:rsidRPr="005F6E65">
              <w:rPr>
                <w:rFonts w:ascii="宋体" w:hAnsi="宋体"/>
              </w:rPr>
              <w:t xml:space="preserve">   </w:t>
            </w:r>
            <w:r w:rsidRPr="005F6E65">
              <w:rPr>
                <w:rFonts w:ascii="宋体" w:hAnsi="宋体" w:hint="eastAsia"/>
              </w:rPr>
              <w:t>日</w:t>
            </w:r>
          </w:p>
        </w:tc>
      </w:tr>
    </w:tbl>
    <w:p w:rsidR="00EE1C68" w:rsidRPr="005F6E65" w:rsidRDefault="00EE1C68" w:rsidP="00EE1C68"/>
    <w:p w:rsidR="00EE1C68" w:rsidRPr="005F6E65" w:rsidRDefault="00EE1C68" w:rsidP="00EE1C68">
      <w:pPr>
        <w:sectPr w:rsidR="00EE1C68" w:rsidRPr="005F6E65">
          <w:pgSz w:w="11906" w:h="16838"/>
          <w:pgMar w:top="1440" w:right="1800" w:bottom="1440" w:left="1800" w:header="851" w:footer="992" w:gutter="0"/>
          <w:cols w:space="425"/>
          <w:docGrid w:type="lines" w:linePitch="312"/>
        </w:sectPr>
      </w:pPr>
    </w:p>
    <w:p w:rsidR="00EE1C68" w:rsidRPr="005F6E65" w:rsidRDefault="00EE1C68" w:rsidP="00EE1C68">
      <w:pPr>
        <w:rPr>
          <w:rFonts w:ascii="宋体"/>
          <w:sz w:val="24"/>
          <w:szCs w:val="24"/>
        </w:rPr>
      </w:pPr>
      <w:r w:rsidRPr="005F6E65">
        <w:rPr>
          <w:rFonts w:ascii="宋体" w:hAnsi="宋体" w:hint="eastAsia"/>
          <w:sz w:val="24"/>
          <w:szCs w:val="24"/>
        </w:rPr>
        <w:lastRenderedPageBreak/>
        <w:t>附件</w:t>
      </w:r>
      <w:r w:rsidRPr="005F6E65">
        <w:rPr>
          <w:rFonts w:ascii="宋体" w:hAnsi="宋体"/>
          <w:sz w:val="24"/>
          <w:szCs w:val="24"/>
        </w:rPr>
        <w:t>3</w:t>
      </w:r>
      <w:r w:rsidRPr="005F6E65">
        <w:rPr>
          <w:rFonts w:ascii="宋体" w:hAnsi="宋体" w:hint="eastAsia"/>
          <w:sz w:val="24"/>
          <w:szCs w:val="24"/>
        </w:rPr>
        <w:t>：</w:t>
      </w:r>
    </w:p>
    <w:p w:rsidR="00EE1C68" w:rsidRPr="000E5662" w:rsidRDefault="00EE1C68" w:rsidP="00EE1C68">
      <w:pPr>
        <w:spacing w:before="100" w:beforeAutospacing="1" w:after="100" w:afterAutospacing="1"/>
        <w:jc w:val="center"/>
        <w:rPr>
          <w:rFonts w:ascii="黑体" w:eastAsia="黑体" w:hAnsi="宋体"/>
          <w:sz w:val="32"/>
          <w:szCs w:val="32"/>
        </w:rPr>
      </w:pPr>
      <w:r w:rsidRPr="000E5662">
        <w:rPr>
          <w:rFonts w:ascii="黑体" w:eastAsia="黑体" w:hAnsi="宋体" w:hint="eastAsia"/>
          <w:sz w:val="32"/>
          <w:szCs w:val="32"/>
        </w:rPr>
        <w:t>大连商品交易所客户大户报告表</w:t>
      </w:r>
    </w:p>
    <w:p w:rsidR="00EE1C68" w:rsidRPr="005F6E65" w:rsidRDefault="00EE1C68" w:rsidP="00EE1C68">
      <w:pPr>
        <w:spacing w:line="440" w:lineRule="exact"/>
        <w:rPr>
          <w:rFonts w:ascii="宋体"/>
        </w:rPr>
      </w:pPr>
      <w:r w:rsidRPr="005F6E65">
        <w:rPr>
          <w:rFonts w:ascii="宋体" w:hAnsi="宋体" w:hint="eastAsia"/>
        </w:rPr>
        <w:t>会员名称：</w:t>
      </w:r>
      <w:r w:rsidRPr="005F6E65">
        <w:rPr>
          <w:rFonts w:ascii="宋体" w:hAnsi="宋体"/>
        </w:rPr>
        <w:t xml:space="preserve">       </w:t>
      </w:r>
      <w:r w:rsidRPr="005F6E65">
        <w:rPr>
          <w:rFonts w:ascii="宋体" w:hAnsi="宋体" w:hint="eastAsia"/>
        </w:rPr>
        <w:t>会员编号：</w:t>
      </w:r>
      <w:r w:rsidRPr="005F6E65">
        <w:rPr>
          <w:rFonts w:ascii="宋体" w:hAnsi="宋体"/>
        </w:rPr>
        <w:t xml:space="preserve">                                          </w:t>
      </w:r>
      <w:r w:rsidRPr="005F6E65">
        <w:rPr>
          <w:rFonts w:ascii="宋体" w:hAnsi="宋体" w:hint="eastAsia"/>
        </w:rPr>
        <w:t>年</w:t>
      </w:r>
      <w:r>
        <w:rPr>
          <w:rFonts w:ascii="宋体" w:hAnsi="宋体"/>
        </w:rPr>
        <w:t xml:space="preserve">  </w:t>
      </w:r>
      <w:r w:rsidRPr="005F6E65">
        <w:rPr>
          <w:rFonts w:ascii="宋体" w:hAnsi="宋体" w:hint="eastAsia"/>
        </w:rPr>
        <w:t>月</w:t>
      </w:r>
      <w:r>
        <w:rPr>
          <w:rFonts w:ascii="宋体" w:hAnsi="宋体"/>
        </w:rPr>
        <w:t xml:space="preserve">  </w:t>
      </w:r>
      <w:r w:rsidRPr="005F6E65">
        <w:rPr>
          <w:rFonts w:ascii="宋体" w:hAnsi="宋体" w:hint="eastAsia"/>
        </w:rPr>
        <w:t>日</w:t>
      </w:r>
      <w:r w:rsidRPr="005F6E65">
        <w:rPr>
          <w:rFonts w:ascii="宋体" w:hAnsi="宋体"/>
        </w:rPr>
        <w:t xml:space="preserve"> </w:t>
      </w: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03"/>
        <w:gridCol w:w="805"/>
        <w:gridCol w:w="833"/>
        <w:gridCol w:w="818"/>
        <w:gridCol w:w="744"/>
        <w:gridCol w:w="703"/>
        <w:gridCol w:w="702"/>
        <w:gridCol w:w="757"/>
        <w:gridCol w:w="633"/>
        <w:gridCol w:w="897"/>
        <w:gridCol w:w="723"/>
        <w:gridCol w:w="740"/>
        <w:gridCol w:w="740"/>
        <w:gridCol w:w="745"/>
      </w:tblGrid>
      <w:tr w:rsidR="00EE1C68" w:rsidRPr="005F6E65" w:rsidTr="000452FF">
        <w:trPr>
          <w:trHeight w:val="384"/>
          <w:jc w:val="center"/>
        </w:trPr>
        <w:tc>
          <w:tcPr>
            <w:tcW w:w="678" w:type="dxa"/>
            <w:vMerge w:val="restart"/>
          </w:tcPr>
          <w:p w:rsidR="00EE1C68" w:rsidRPr="005F6E65" w:rsidRDefault="00EE1C68" w:rsidP="000452FF">
            <w:pPr>
              <w:spacing w:line="440" w:lineRule="exact"/>
              <w:jc w:val="center"/>
              <w:rPr>
                <w:rFonts w:ascii="宋体"/>
              </w:rPr>
            </w:pPr>
            <w:r w:rsidRPr="005F6E65">
              <w:rPr>
                <w:rFonts w:ascii="宋体" w:hAnsi="宋体" w:hint="eastAsia"/>
              </w:rPr>
              <w:t>客户名称</w:t>
            </w:r>
          </w:p>
        </w:tc>
        <w:tc>
          <w:tcPr>
            <w:tcW w:w="703" w:type="dxa"/>
            <w:vMerge w:val="restart"/>
          </w:tcPr>
          <w:p w:rsidR="00EE1C68" w:rsidRPr="005F6E65" w:rsidRDefault="00EE1C68" w:rsidP="000452FF">
            <w:pPr>
              <w:spacing w:line="440" w:lineRule="exact"/>
              <w:jc w:val="center"/>
              <w:rPr>
                <w:rFonts w:ascii="宋体"/>
              </w:rPr>
            </w:pPr>
            <w:r w:rsidRPr="005F6E65">
              <w:rPr>
                <w:rFonts w:ascii="宋体" w:hAnsi="宋体" w:hint="eastAsia"/>
              </w:rPr>
              <w:t>客户编码</w:t>
            </w:r>
          </w:p>
        </w:tc>
        <w:tc>
          <w:tcPr>
            <w:tcW w:w="805" w:type="dxa"/>
            <w:vMerge w:val="restart"/>
          </w:tcPr>
          <w:p w:rsidR="00EE1C68" w:rsidRPr="005F6E65" w:rsidRDefault="00EE1C68" w:rsidP="000452FF">
            <w:pPr>
              <w:spacing w:line="440" w:lineRule="exact"/>
              <w:jc w:val="center"/>
              <w:rPr>
                <w:rFonts w:ascii="宋体"/>
              </w:rPr>
            </w:pPr>
            <w:r w:rsidRPr="005F6E65">
              <w:rPr>
                <w:rFonts w:ascii="宋体" w:hAnsi="宋体" w:hint="eastAsia"/>
              </w:rPr>
              <w:t>合约代码</w:t>
            </w:r>
          </w:p>
        </w:tc>
        <w:tc>
          <w:tcPr>
            <w:tcW w:w="1651" w:type="dxa"/>
            <w:gridSpan w:val="2"/>
          </w:tcPr>
          <w:p w:rsidR="00EE1C68" w:rsidRPr="005F6E65" w:rsidRDefault="00EE1C68" w:rsidP="000452FF">
            <w:pPr>
              <w:spacing w:line="440" w:lineRule="exact"/>
              <w:jc w:val="center"/>
              <w:rPr>
                <w:rFonts w:ascii="宋体"/>
              </w:rPr>
            </w:pPr>
            <w:r w:rsidRPr="005F6E65">
              <w:rPr>
                <w:rFonts w:ascii="宋体" w:hAnsi="宋体" w:hint="eastAsia"/>
              </w:rPr>
              <w:t>期货合约</w:t>
            </w:r>
          </w:p>
        </w:tc>
        <w:tc>
          <w:tcPr>
            <w:tcW w:w="2906" w:type="dxa"/>
            <w:gridSpan w:val="4"/>
          </w:tcPr>
          <w:p w:rsidR="00EE1C68" w:rsidRPr="005F6E65" w:rsidRDefault="00EE1C68" w:rsidP="000452FF">
            <w:pPr>
              <w:spacing w:line="440" w:lineRule="exact"/>
              <w:jc w:val="center"/>
              <w:rPr>
                <w:rFonts w:ascii="宋体"/>
              </w:rPr>
            </w:pPr>
            <w:r w:rsidRPr="005F6E65">
              <w:rPr>
                <w:rFonts w:ascii="宋体" w:hAnsi="宋体" w:hint="eastAsia"/>
              </w:rPr>
              <w:t>期权合约</w:t>
            </w:r>
          </w:p>
        </w:tc>
        <w:tc>
          <w:tcPr>
            <w:tcW w:w="633" w:type="dxa"/>
            <w:vMerge w:val="restart"/>
          </w:tcPr>
          <w:p w:rsidR="00EE1C68" w:rsidRPr="005F6E65" w:rsidRDefault="00EE1C68" w:rsidP="000452FF">
            <w:pPr>
              <w:spacing w:line="440" w:lineRule="exact"/>
              <w:jc w:val="center"/>
              <w:rPr>
                <w:rFonts w:ascii="宋体"/>
              </w:rPr>
            </w:pPr>
            <w:r w:rsidRPr="005F6E65">
              <w:rPr>
                <w:rFonts w:ascii="宋体" w:hAnsi="宋体" w:hint="eastAsia"/>
              </w:rPr>
              <w:t>建仓时间</w:t>
            </w:r>
          </w:p>
        </w:tc>
        <w:tc>
          <w:tcPr>
            <w:tcW w:w="897" w:type="dxa"/>
            <w:vMerge w:val="restart"/>
          </w:tcPr>
          <w:p w:rsidR="00EE1C68" w:rsidRPr="005F6E65" w:rsidRDefault="00EE1C68" w:rsidP="000452FF">
            <w:pPr>
              <w:spacing w:line="440" w:lineRule="exact"/>
              <w:jc w:val="center"/>
              <w:rPr>
                <w:rFonts w:ascii="宋体"/>
              </w:rPr>
            </w:pPr>
            <w:r w:rsidRPr="005F6E65">
              <w:rPr>
                <w:rFonts w:ascii="宋体" w:hAnsi="宋体" w:hint="eastAsia"/>
              </w:rPr>
              <w:t>持仓占用保证金</w:t>
            </w:r>
          </w:p>
        </w:tc>
        <w:tc>
          <w:tcPr>
            <w:tcW w:w="723" w:type="dxa"/>
            <w:vMerge w:val="restart"/>
          </w:tcPr>
          <w:p w:rsidR="00EE1C68" w:rsidRPr="005F6E65" w:rsidRDefault="00EE1C68" w:rsidP="000452FF">
            <w:pPr>
              <w:spacing w:line="440" w:lineRule="exact"/>
              <w:jc w:val="center"/>
              <w:rPr>
                <w:rFonts w:ascii="宋体"/>
              </w:rPr>
            </w:pPr>
            <w:r w:rsidRPr="005F6E65">
              <w:rPr>
                <w:rFonts w:ascii="宋体" w:hAnsi="宋体" w:hint="eastAsia"/>
              </w:rPr>
              <w:t>可动用资金</w:t>
            </w:r>
          </w:p>
        </w:tc>
        <w:tc>
          <w:tcPr>
            <w:tcW w:w="740" w:type="dxa"/>
            <w:vMerge w:val="restart"/>
          </w:tcPr>
          <w:p w:rsidR="00EE1C68" w:rsidRPr="005F6E65" w:rsidRDefault="00EE1C68" w:rsidP="000452FF">
            <w:pPr>
              <w:spacing w:line="440" w:lineRule="exact"/>
              <w:jc w:val="center"/>
              <w:rPr>
                <w:rFonts w:ascii="宋体"/>
              </w:rPr>
            </w:pPr>
            <w:r w:rsidRPr="005F6E65">
              <w:rPr>
                <w:rFonts w:ascii="宋体" w:hAnsi="宋体" w:hint="eastAsia"/>
              </w:rPr>
              <w:t>预报交割数量</w:t>
            </w:r>
          </w:p>
        </w:tc>
        <w:tc>
          <w:tcPr>
            <w:tcW w:w="740" w:type="dxa"/>
            <w:vMerge w:val="restart"/>
          </w:tcPr>
          <w:p w:rsidR="00EE1C68" w:rsidRPr="005F6E65" w:rsidRDefault="00EE1C68" w:rsidP="000452FF">
            <w:pPr>
              <w:spacing w:line="440" w:lineRule="exact"/>
              <w:jc w:val="center"/>
              <w:rPr>
                <w:rFonts w:ascii="宋体"/>
              </w:rPr>
            </w:pPr>
            <w:r w:rsidRPr="005F6E65">
              <w:rPr>
                <w:rFonts w:ascii="宋体" w:hAnsi="宋体" w:hint="eastAsia"/>
              </w:rPr>
              <w:t>申请交割数量</w:t>
            </w:r>
          </w:p>
        </w:tc>
        <w:tc>
          <w:tcPr>
            <w:tcW w:w="740" w:type="dxa"/>
            <w:vMerge w:val="restart"/>
          </w:tcPr>
          <w:p w:rsidR="00EE1C68" w:rsidRPr="005F6E65" w:rsidRDefault="00EE1C68" w:rsidP="000452FF">
            <w:pPr>
              <w:spacing w:line="440" w:lineRule="exact"/>
              <w:jc w:val="center"/>
              <w:rPr>
                <w:rFonts w:ascii="宋体"/>
              </w:rPr>
            </w:pPr>
            <w:r w:rsidRPr="005F6E65">
              <w:rPr>
                <w:rFonts w:ascii="宋体" w:hAnsi="宋体" w:hint="eastAsia"/>
              </w:rPr>
              <w:t>持仓意向</w:t>
            </w:r>
          </w:p>
        </w:tc>
      </w:tr>
      <w:tr w:rsidR="00EE1C68" w:rsidRPr="005F6E65" w:rsidTr="000452FF">
        <w:trPr>
          <w:trHeight w:val="868"/>
          <w:jc w:val="center"/>
        </w:trPr>
        <w:tc>
          <w:tcPr>
            <w:tcW w:w="678" w:type="dxa"/>
            <w:vMerge/>
          </w:tcPr>
          <w:p w:rsidR="00EE1C68" w:rsidRPr="005F6E65" w:rsidRDefault="00EE1C68" w:rsidP="000452FF">
            <w:pPr>
              <w:spacing w:line="440" w:lineRule="exact"/>
              <w:jc w:val="center"/>
              <w:rPr>
                <w:rFonts w:ascii="宋体"/>
              </w:rPr>
            </w:pPr>
          </w:p>
        </w:tc>
        <w:tc>
          <w:tcPr>
            <w:tcW w:w="703" w:type="dxa"/>
            <w:vMerge/>
          </w:tcPr>
          <w:p w:rsidR="00EE1C68" w:rsidRPr="005F6E65" w:rsidRDefault="00EE1C68" w:rsidP="000452FF">
            <w:pPr>
              <w:spacing w:line="440" w:lineRule="exact"/>
              <w:jc w:val="center"/>
              <w:rPr>
                <w:rFonts w:ascii="宋体"/>
              </w:rPr>
            </w:pPr>
          </w:p>
        </w:tc>
        <w:tc>
          <w:tcPr>
            <w:tcW w:w="805" w:type="dxa"/>
            <w:vMerge/>
          </w:tcPr>
          <w:p w:rsidR="00EE1C68" w:rsidRPr="005F6E65" w:rsidRDefault="00EE1C68" w:rsidP="000452FF">
            <w:pPr>
              <w:spacing w:line="440" w:lineRule="exact"/>
              <w:jc w:val="center"/>
              <w:rPr>
                <w:rFonts w:ascii="宋体"/>
              </w:rPr>
            </w:pPr>
          </w:p>
        </w:tc>
        <w:tc>
          <w:tcPr>
            <w:tcW w:w="833" w:type="dxa"/>
          </w:tcPr>
          <w:p w:rsidR="00EE1C68" w:rsidRPr="005F6E65" w:rsidRDefault="00EE1C68" w:rsidP="000452FF">
            <w:pPr>
              <w:spacing w:line="440" w:lineRule="exact"/>
              <w:jc w:val="center"/>
              <w:rPr>
                <w:rFonts w:ascii="宋体"/>
              </w:rPr>
            </w:pPr>
            <w:r w:rsidRPr="005F6E65">
              <w:rPr>
                <w:rFonts w:ascii="宋体" w:hAnsi="宋体" w:hint="eastAsia"/>
              </w:rPr>
              <w:t>买持仓量</w:t>
            </w:r>
          </w:p>
        </w:tc>
        <w:tc>
          <w:tcPr>
            <w:tcW w:w="817" w:type="dxa"/>
          </w:tcPr>
          <w:p w:rsidR="00EE1C68" w:rsidRPr="005F6E65" w:rsidRDefault="00EE1C68" w:rsidP="000452FF">
            <w:pPr>
              <w:spacing w:line="440" w:lineRule="exact"/>
              <w:jc w:val="center"/>
              <w:rPr>
                <w:rFonts w:ascii="宋体"/>
              </w:rPr>
            </w:pPr>
            <w:r w:rsidRPr="005F6E65">
              <w:rPr>
                <w:rFonts w:ascii="宋体" w:hAnsi="宋体" w:hint="eastAsia"/>
              </w:rPr>
              <w:t>卖持仓量</w:t>
            </w:r>
          </w:p>
        </w:tc>
        <w:tc>
          <w:tcPr>
            <w:tcW w:w="744" w:type="dxa"/>
          </w:tcPr>
          <w:p w:rsidR="00EE1C68" w:rsidRPr="005F6E65" w:rsidRDefault="00EE1C68" w:rsidP="000452FF">
            <w:pPr>
              <w:spacing w:line="440" w:lineRule="exact"/>
              <w:jc w:val="center"/>
              <w:rPr>
                <w:rFonts w:ascii="宋体"/>
              </w:rPr>
            </w:pPr>
            <w:r w:rsidRPr="005F6E65">
              <w:rPr>
                <w:rFonts w:ascii="宋体" w:hAnsi="宋体" w:hint="eastAsia"/>
              </w:rPr>
              <w:t>看涨期权买持仓</w:t>
            </w:r>
          </w:p>
        </w:tc>
        <w:tc>
          <w:tcPr>
            <w:tcW w:w="703" w:type="dxa"/>
          </w:tcPr>
          <w:p w:rsidR="00EE1C68" w:rsidRPr="005F6E65" w:rsidRDefault="00EE1C68" w:rsidP="000452FF">
            <w:pPr>
              <w:spacing w:line="440" w:lineRule="exact"/>
              <w:jc w:val="center"/>
              <w:rPr>
                <w:rFonts w:ascii="宋体"/>
              </w:rPr>
            </w:pPr>
            <w:r w:rsidRPr="005F6E65">
              <w:rPr>
                <w:rFonts w:ascii="宋体" w:hAnsi="宋体" w:hint="eastAsia"/>
              </w:rPr>
              <w:t>看跌期权卖持仓</w:t>
            </w:r>
          </w:p>
        </w:tc>
        <w:tc>
          <w:tcPr>
            <w:tcW w:w="702" w:type="dxa"/>
          </w:tcPr>
          <w:p w:rsidR="00EE1C68" w:rsidRPr="005F6E65" w:rsidRDefault="00EE1C68" w:rsidP="000452FF">
            <w:pPr>
              <w:spacing w:line="440" w:lineRule="exact"/>
              <w:jc w:val="center"/>
              <w:rPr>
                <w:rFonts w:ascii="宋体"/>
              </w:rPr>
            </w:pPr>
            <w:r w:rsidRPr="005F6E65">
              <w:rPr>
                <w:rFonts w:ascii="宋体" w:hAnsi="宋体" w:hint="eastAsia"/>
              </w:rPr>
              <w:t>看涨期权卖持仓</w:t>
            </w:r>
          </w:p>
        </w:tc>
        <w:tc>
          <w:tcPr>
            <w:tcW w:w="755" w:type="dxa"/>
          </w:tcPr>
          <w:p w:rsidR="00EE1C68" w:rsidRPr="005F6E65" w:rsidRDefault="00EE1C68" w:rsidP="000452FF">
            <w:pPr>
              <w:spacing w:line="440" w:lineRule="exact"/>
              <w:jc w:val="center"/>
              <w:rPr>
                <w:rFonts w:ascii="宋体"/>
              </w:rPr>
            </w:pPr>
            <w:r w:rsidRPr="005F6E65">
              <w:rPr>
                <w:rFonts w:ascii="宋体" w:hAnsi="宋体" w:hint="eastAsia"/>
              </w:rPr>
              <w:t>看跌期权买持仓</w:t>
            </w:r>
          </w:p>
        </w:tc>
        <w:tc>
          <w:tcPr>
            <w:tcW w:w="633" w:type="dxa"/>
            <w:vMerge/>
          </w:tcPr>
          <w:p w:rsidR="00EE1C68" w:rsidRPr="005F6E65" w:rsidRDefault="00EE1C68" w:rsidP="000452FF">
            <w:pPr>
              <w:spacing w:line="440" w:lineRule="exact"/>
              <w:jc w:val="center"/>
              <w:rPr>
                <w:rFonts w:ascii="宋体"/>
              </w:rPr>
            </w:pPr>
          </w:p>
        </w:tc>
        <w:tc>
          <w:tcPr>
            <w:tcW w:w="897" w:type="dxa"/>
            <w:vMerge/>
          </w:tcPr>
          <w:p w:rsidR="00EE1C68" w:rsidRPr="005F6E65" w:rsidRDefault="00EE1C68" w:rsidP="000452FF">
            <w:pPr>
              <w:spacing w:line="440" w:lineRule="exact"/>
              <w:jc w:val="center"/>
              <w:rPr>
                <w:rFonts w:ascii="宋体"/>
              </w:rPr>
            </w:pPr>
          </w:p>
        </w:tc>
        <w:tc>
          <w:tcPr>
            <w:tcW w:w="723" w:type="dxa"/>
            <w:vMerge/>
          </w:tcPr>
          <w:p w:rsidR="00EE1C68" w:rsidRPr="005F6E65" w:rsidRDefault="00EE1C68" w:rsidP="000452FF">
            <w:pPr>
              <w:spacing w:line="440" w:lineRule="exact"/>
              <w:jc w:val="center"/>
              <w:rPr>
                <w:rFonts w:ascii="宋体"/>
              </w:rPr>
            </w:pPr>
          </w:p>
        </w:tc>
        <w:tc>
          <w:tcPr>
            <w:tcW w:w="740" w:type="dxa"/>
            <w:vMerge/>
          </w:tcPr>
          <w:p w:rsidR="00EE1C68" w:rsidRPr="005F6E65" w:rsidRDefault="00EE1C68" w:rsidP="000452FF">
            <w:pPr>
              <w:spacing w:line="440" w:lineRule="exact"/>
              <w:jc w:val="center"/>
              <w:rPr>
                <w:rFonts w:ascii="宋体"/>
              </w:rPr>
            </w:pPr>
          </w:p>
        </w:tc>
        <w:tc>
          <w:tcPr>
            <w:tcW w:w="740" w:type="dxa"/>
            <w:vMerge/>
          </w:tcPr>
          <w:p w:rsidR="00EE1C68" w:rsidRPr="005F6E65" w:rsidRDefault="00EE1C68" w:rsidP="000452FF">
            <w:pPr>
              <w:spacing w:line="440" w:lineRule="exact"/>
              <w:jc w:val="center"/>
              <w:rPr>
                <w:rFonts w:ascii="宋体"/>
              </w:rPr>
            </w:pPr>
          </w:p>
        </w:tc>
        <w:tc>
          <w:tcPr>
            <w:tcW w:w="740" w:type="dxa"/>
            <w:vMerge/>
          </w:tcPr>
          <w:p w:rsidR="00EE1C68" w:rsidRPr="005F6E65" w:rsidRDefault="00EE1C68" w:rsidP="000452FF">
            <w:pPr>
              <w:spacing w:line="440" w:lineRule="exact"/>
              <w:jc w:val="center"/>
              <w:rPr>
                <w:rFonts w:ascii="宋体"/>
              </w:rPr>
            </w:pPr>
          </w:p>
        </w:tc>
      </w:tr>
      <w:tr w:rsidR="00EE1C68" w:rsidRPr="005F6E65" w:rsidTr="000452FF">
        <w:trPr>
          <w:trHeight w:val="412"/>
          <w:jc w:val="center"/>
        </w:trPr>
        <w:tc>
          <w:tcPr>
            <w:tcW w:w="678" w:type="dxa"/>
            <w:vMerge w:val="restart"/>
          </w:tcPr>
          <w:p w:rsidR="00EE1C68" w:rsidRPr="005F6E65" w:rsidRDefault="00EE1C68" w:rsidP="000452FF">
            <w:pPr>
              <w:spacing w:line="440" w:lineRule="exact"/>
              <w:rPr>
                <w:rFonts w:ascii="宋体"/>
              </w:rPr>
            </w:pPr>
            <w:r w:rsidRPr="005F6E65">
              <w:rPr>
                <w:rFonts w:ascii="宋体"/>
              </w:rPr>
              <w:t> </w:t>
            </w:r>
          </w:p>
        </w:tc>
        <w:tc>
          <w:tcPr>
            <w:tcW w:w="703" w:type="dxa"/>
            <w:vMerge w:val="restart"/>
          </w:tcPr>
          <w:p w:rsidR="00EE1C68" w:rsidRPr="005F6E65" w:rsidRDefault="00EE1C68" w:rsidP="000452FF">
            <w:pPr>
              <w:spacing w:line="440" w:lineRule="exact"/>
              <w:rPr>
                <w:rFonts w:ascii="宋体"/>
              </w:rPr>
            </w:pPr>
            <w:r w:rsidRPr="005F6E65">
              <w:rPr>
                <w:rFonts w:ascii="宋体"/>
              </w:rPr>
              <w:t> </w:t>
            </w:r>
          </w:p>
        </w:tc>
        <w:tc>
          <w:tcPr>
            <w:tcW w:w="805" w:type="dxa"/>
          </w:tcPr>
          <w:p w:rsidR="00EE1C68" w:rsidRPr="005F6E65" w:rsidRDefault="00EE1C68" w:rsidP="000452FF">
            <w:pPr>
              <w:spacing w:line="440" w:lineRule="exact"/>
              <w:jc w:val="center"/>
              <w:rPr>
                <w:rFonts w:ascii="宋体"/>
              </w:rPr>
            </w:pPr>
          </w:p>
        </w:tc>
        <w:tc>
          <w:tcPr>
            <w:tcW w:w="833" w:type="dxa"/>
          </w:tcPr>
          <w:p w:rsidR="00EE1C68" w:rsidRPr="005F6E65" w:rsidRDefault="00EE1C68" w:rsidP="000452FF">
            <w:pPr>
              <w:spacing w:line="440" w:lineRule="exact"/>
              <w:jc w:val="center"/>
              <w:rPr>
                <w:rFonts w:ascii="宋体"/>
              </w:rPr>
            </w:pP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val="restart"/>
          </w:tcPr>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p w:rsidR="00EE1C68" w:rsidRPr="005F6E65" w:rsidRDefault="00EE1C68" w:rsidP="000452FF">
            <w:pPr>
              <w:spacing w:line="440" w:lineRule="exact"/>
              <w:rPr>
                <w:rFonts w:ascii="宋体"/>
              </w:rPr>
            </w:pPr>
            <w:r w:rsidRPr="005F6E65">
              <w:rPr>
                <w:rFonts w:ascii="宋体"/>
              </w:rPr>
              <w:t> </w:t>
            </w:r>
          </w:p>
        </w:tc>
        <w:tc>
          <w:tcPr>
            <w:tcW w:w="740" w:type="dxa"/>
            <w:vMerge w:val="restart"/>
          </w:tcPr>
          <w:p w:rsidR="00EE1C68" w:rsidRPr="005F6E65" w:rsidRDefault="00EE1C68" w:rsidP="000452FF">
            <w:pPr>
              <w:spacing w:line="440" w:lineRule="exact"/>
              <w:rPr>
                <w:rFonts w:ascii="宋体"/>
              </w:rPr>
            </w:pPr>
            <w:r w:rsidRPr="005F6E65">
              <w:rPr>
                <w:rFonts w:ascii="宋体" w:hAnsi="宋体" w:hint="eastAsia"/>
              </w:rPr>
              <w:t>仅有期权持仓无需填写此项</w:t>
            </w:r>
          </w:p>
        </w:tc>
        <w:tc>
          <w:tcPr>
            <w:tcW w:w="740" w:type="dxa"/>
            <w:vMerge w:val="restart"/>
          </w:tcPr>
          <w:p w:rsidR="00EE1C68" w:rsidRPr="005F6E65" w:rsidRDefault="00EE1C68" w:rsidP="000452FF">
            <w:pPr>
              <w:spacing w:line="440" w:lineRule="exact"/>
              <w:rPr>
                <w:rFonts w:ascii="宋体"/>
              </w:rPr>
            </w:pPr>
            <w:r w:rsidRPr="005F6E65">
              <w:rPr>
                <w:rFonts w:ascii="宋体" w:hAnsi="宋体" w:hint="eastAsia"/>
              </w:rPr>
              <w:t>仅有期权持仓无需填写此项</w:t>
            </w:r>
          </w:p>
        </w:tc>
        <w:tc>
          <w:tcPr>
            <w:tcW w:w="740" w:type="dxa"/>
            <w:vMerge w:val="restart"/>
          </w:tcPr>
          <w:p w:rsidR="00EE1C68" w:rsidRPr="005F6E65" w:rsidRDefault="00EE1C68" w:rsidP="000452FF">
            <w:pPr>
              <w:spacing w:line="440" w:lineRule="exact"/>
              <w:rPr>
                <w:rFonts w:ascii="宋体"/>
              </w:rPr>
            </w:pPr>
          </w:p>
        </w:tc>
      </w:tr>
      <w:tr w:rsidR="00EE1C68" w:rsidRPr="005F6E65" w:rsidTr="000452FF">
        <w:trPr>
          <w:trHeight w:val="421"/>
          <w:jc w:val="center"/>
        </w:trPr>
        <w:tc>
          <w:tcPr>
            <w:tcW w:w="678" w:type="dxa"/>
            <w:vMerge/>
          </w:tcPr>
          <w:p w:rsidR="00EE1C68" w:rsidRPr="005F6E65" w:rsidRDefault="00EE1C68" w:rsidP="000452FF">
            <w:pPr>
              <w:rPr>
                <w:rFonts w:ascii="宋体"/>
              </w:rPr>
            </w:pPr>
          </w:p>
        </w:tc>
        <w:tc>
          <w:tcPr>
            <w:tcW w:w="703" w:type="dxa"/>
            <w:vMerge/>
          </w:tcPr>
          <w:p w:rsidR="00EE1C68" w:rsidRPr="005F6E65" w:rsidRDefault="00EE1C68" w:rsidP="000452FF">
            <w:pPr>
              <w:rPr>
                <w:rFonts w:ascii="宋体"/>
              </w:rPr>
            </w:pP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432"/>
          <w:jc w:val="center"/>
        </w:trPr>
        <w:tc>
          <w:tcPr>
            <w:tcW w:w="678" w:type="dxa"/>
            <w:vMerge/>
          </w:tcPr>
          <w:p w:rsidR="00EE1C68" w:rsidRPr="005F6E65" w:rsidRDefault="00EE1C68" w:rsidP="000452FF">
            <w:pPr>
              <w:rPr>
                <w:rFonts w:ascii="宋体"/>
              </w:rPr>
            </w:pPr>
          </w:p>
        </w:tc>
        <w:tc>
          <w:tcPr>
            <w:tcW w:w="703" w:type="dxa"/>
            <w:vMerge/>
          </w:tcPr>
          <w:p w:rsidR="00EE1C68" w:rsidRPr="005F6E65" w:rsidRDefault="00EE1C68" w:rsidP="000452FF">
            <w:pPr>
              <w:rPr>
                <w:rFonts w:ascii="宋体"/>
              </w:rPr>
            </w:pP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421"/>
          <w:jc w:val="center"/>
        </w:trPr>
        <w:tc>
          <w:tcPr>
            <w:tcW w:w="678" w:type="dxa"/>
            <w:vMerge/>
          </w:tcPr>
          <w:p w:rsidR="00EE1C68" w:rsidRPr="005F6E65" w:rsidRDefault="00EE1C68" w:rsidP="000452FF">
            <w:pPr>
              <w:rPr>
                <w:rFonts w:ascii="宋体"/>
              </w:rPr>
            </w:pPr>
          </w:p>
        </w:tc>
        <w:tc>
          <w:tcPr>
            <w:tcW w:w="703" w:type="dxa"/>
            <w:vMerge/>
          </w:tcPr>
          <w:p w:rsidR="00EE1C68" w:rsidRPr="005F6E65" w:rsidRDefault="00EE1C68" w:rsidP="000452FF">
            <w:pPr>
              <w:rPr>
                <w:rFonts w:ascii="宋体"/>
              </w:rPr>
            </w:pP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432"/>
          <w:jc w:val="center"/>
        </w:trPr>
        <w:tc>
          <w:tcPr>
            <w:tcW w:w="678" w:type="dxa"/>
            <w:vMerge/>
          </w:tcPr>
          <w:p w:rsidR="00EE1C68" w:rsidRPr="005F6E65" w:rsidRDefault="00EE1C68" w:rsidP="000452FF">
            <w:pPr>
              <w:rPr>
                <w:rFonts w:ascii="宋体"/>
              </w:rPr>
            </w:pPr>
          </w:p>
        </w:tc>
        <w:tc>
          <w:tcPr>
            <w:tcW w:w="703" w:type="dxa"/>
            <w:vMerge/>
          </w:tcPr>
          <w:p w:rsidR="00EE1C68" w:rsidRPr="005F6E65" w:rsidRDefault="00EE1C68" w:rsidP="000452FF">
            <w:pPr>
              <w:rPr>
                <w:rFonts w:ascii="宋体"/>
              </w:rPr>
            </w:pP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213"/>
          <w:jc w:val="center"/>
        </w:trPr>
        <w:tc>
          <w:tcPr>
            <w:tcW w:w="678" w:type="dxa"/>
            <w:vMerge/>
          </w:tcPr>
          <w:p w:rsidR="00EE1C68" w:rsidRPr="005F6E65" w:rsidRDefault="00EE1C68" w:rsidP="000452FF">
            <w:pPr>
              <w:rPr>
                <w:rFonts w:ascii="宋体"/>
              </w:rPr>
            </w:pPr>
          </w:p>
        </w:tc>
        <w:tc>
          <w:tcPr>
            <w:tcW w:w="703" w:type="dxa"/>
            <w:vMerge/>
          </w:tcPr>
          <w:p w:rsidR="00EE1C68" w:rsidRPr="005F6E65" w:rsidRDefault="00EE1C68" w:rsidP="000452FF">
            <w:pPr>
              <w:rPr>
                <w:rFonts w:ascii="宋体"/>
              </w:rPr>
            </w:pP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1195"/>
          <w:jc w:val="center"/>
        </w:trPr>
        <w:tc>
          <w:tcPr>
            <w:tcW w:w="678" w:type="dxa"/>
          </w:tcPr>
          <w:p w:rsidR="00EE1C68" w:rsidRPr="005F6E65" w:rsidRDefault="00EE1C68" w:rsidP="000452FF">
            <w:pPr>
              <w:spacing w:line="440" w:lineRule="exact"/>
              <w:jc w:val="center"/>
              <w:rPr>
                <w:rFonts w:ascii="宋体"/>
              </w:rPr>
            </w:pPr>
            <w:r w:rsidRPr="005F6E65">
              <w:rPr>
                <w:rFonts w:ascii="宋体" w:hAnsi="宋体" w:hint="eastAsia"/>
              </w:rPr>
              <w:t>合计</w:t>
            </w:r>
          </w:p>
        </w:tc>
        <w:tc>
          <w:tcPr>
            <w:tcW w:w="703" w:type="dxa"/>
          </w:tcPr>
          <w:p w:rsidR="00EE1C68" w:rsidRPr="005F6E65" w:rsidRDefault="00EE1C68" w:rsidP="000452FF">
            <w:pPr>
              <w:spacing w:line="440" w:lineRule="exact"/>
              <w:rPr>
                <w:rFonts w:ascii="宋体"/>
              </w:rPr>
            </w:pPr>
            <w:r w:rsidRPr="005F6E65">
              <w:rPr>
                <w:rFonts w:ascii="宋体"/>
              </w:rPr>
              <w:t> </w:t>
            </w:r>
          </w:p>
        </w:tc>
        <w:tc>
          <w:tcPr>
            <w:tcW w:w="805" w:type="dxa"/>
          </w:tcPr>
          <w:p w:rsidR="00EE1C68" w:rsidRPr="005F6E65" w:rsidRDefault="00EE1C68" w:rsidP="000452FF">
            <w:pPr>
              <w:spacing w:line="440" w:lineRule="exact"/>
              <w:rPr>
                <w:rFonts w:ascii="宋体"/>
              </w:rPr>
            </w:pPr>
            <w:r w:rsidRPr="005F6E65">
              <w:rPr>
                <w:rFonts w:ascii="宋体"/>
              </w:rPr>
              <w:t> </w:t>
            </w:r>
          </w:p>
        </w:tc>
        <w:tc>
          <w:tcPr>
            <w:tcW w:w="833" w:type="dxa"/>
          </w:tcPr>
          <w:p w:rsidR="00EE1C68" w:rsidRPr="005F6E65" w:rsidRDefault="00EE1C68" w:rsidP="000452FF">
            <w:pPr>
              <w:spacing w:line="440" w:lineRule="exact"/>
              <w:rPr>
                <w:rFonts w:ascii="宋体"/>
              </w:rPr>
            </w:pPr>
            <w:r w:rsidRPr="005F6E65">
              <w:rPr>
                <w:rFonts w:ascii="宋体"/>
              </w:rPr>
              <w:t> </w:t>
            </w:r>
          </w:p>
        </w:tc>
        <w:tc>
          <w:tcPr>
            <w:tcW w:w="817" w:type="dxa"/>
          </w:tcPr>
          <w:p w:rsidR="00EE1C68" w:rsidRPr="005F6E65" w:rsidRDefault="00EE1C68" w:rsidP="000452FF">
            <w:pPr>
              <w:spacing w:line="440" w:lineRule="exact"/>
              <w:rPr>
                <w:rFonts w:ascii="宋体"/>
              </w:rPr>
            </w:pPr>
            <w:r w:rsidRPr="005F6E65">
              <w:rPr>
                <w:rFonts w:ascii="宋体"/>
              </w:rPr>
              <w:t> </w:t>
            </w:r>
          </w:p>
        </w:tc>
        <w:tc>
          <w:tcPr>
            <w:tcW w:w="744" w:type="dxa"/>
          </w:tcPr>
          <w:p w:rsidR="00EE1C68" w:rsidRPr="005F6E65" w:rsidRDefault="00EE1C68" w:rsidP="000452FF">
            <w:pPr>
              <w:spacing w:line="440" w:lineRule="exact"/>
              <w:jc w:val="center"/>
              <w:rPr>
                <w:rFonts w:ascii="宋体"/>
              </w:rPr>
            </w:pPr>
          </w:p>
        </w:tc>
        <w:tc>
          <w:tcPr>
            <w:tcW w:w="703" w:type="dxa"/>
          </w:tcPr>
          <w:p w:rsidR="00EE1C68" w:rsidRPr="005F6E65" w:rsidRDefault="00EE1C68" w:rsidP="000452FF">
            <w:pPr>
              <w:spacing w:line="440" w:lineRule="exact"/>
              <w:rPr>
                <w:rFonts w:ascii="宋体"/>
              </w:rPr>
            </w:pPr>
            <w:r w:rsidRPr="005F6E65">
              <w:rPr>
                <w:rFonts w:ascii="宋体"/>
              </w:rPr>
              <w:t> </w:t>
            </w:r>
          </w:p>
        </w:tc>
        <w:tc>
          <w:tcPr>
            <w:tcW w:w="702" w:type="dxa"/>
          </w:tcPr>
          <w:p w:rsidR="00EE1C68" w:rsidRPr="005F6E65" w:rsidRDefault="00EE1C68" w:rsidP="000452FF">
            <w:pPr>
              <w:spacing w:line="440" w:lineRule="exact"/>
              <w:rPr>
                <w:rFonts w:ascii="宋体"/>
              </w:rPr>
            </w:pPr>
          </w:p>
        </w:tc>
        <w:tc>
          <w:tcPr>
            <w:tcW w:w="755" w:type="dxa"/>
          </w:tcPr>
          <w:p w:rsidR="00EE1C68" w:rsidRPr="005F6E65" w:rsidRDefault="00EE1C68" w:rsidP="000452FF">
            <w:pPr>
              <w:spacing w:line="440" w:lineRule="exact"/>
              <w:rPr>
                <w:rFonts w:ascii="宋体"/>
              </w:rPr>
            </w:pPr>
          </w:p>
        </w:tc>
        <w:tc>
          <w:tcPr>
            <w:tcW w:w="633" w:type="dxa"/>
          </w:tcPr>
          <w:p w:rsidR="00EE1C68" w:rsidRPr="005F6E65" w:rsidRDefault="00EE1C68" w:rsidP="000452FF">
            <w:pPr>
              <w:spacing w:line="440" w:lineRule="exact"/>
              <w:rPr>
                <w:rFonts w:ascii="宋体"/>
              </w:rPr>
            </w:pPr>
          </w:p>
        </w:tc>
        <w:tc>
          <w:tcPr>
            <w:tcW w:w="897" w:type="dxa"/>
          </w:tcPr>
          <w:p w:rsidR="00EE1C68" w:rsidRPr="005F6E65" w:rsidRDefault="00EE1C68" w:rsidP="000452FF">
            <w:pPr>
              <w:spacing w:line="440" w:lineRule="exact"/>
              <w:rPr>
                <w:rFonts w:ascii="宋体"/>
              </w:rPr>
            </w:pPr>
          </w:p>
        </w:tc>
        <w:tc>
          <w:tcPr>
            <w:tcW w:w="723"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c>
          <w:tcPr>
            <w:tcW w:w="740" w:type="dxa"/>
            <w:vMerge/>
          </w:tcPr>
          <w:p w:rsidR="00EE1C68" w:rsidRPr="005F6E65" w:rsidRDefault="00EE1C68" w:rsidP="000452FF">
            <w:pPr>
              <w:rPr>
                <w:rFonts w:ascii="宋体"/>
              </w:rPr>
            </w:pPr>
          </w:p>
        </w:tc>
      </w:tr>
      <w:tr w:rsidR="00EE1C68" w:rsidRPr="005F6E65" w:rsidTr="000452FF">
        <w:trPr>
          <w:trHeight w:val="939"/>
          <w:jc w:val="center"/>
        </w:trPr>
        <w:tc>
          <w:tcPr>
            <w:tcW w:w="678" w:type="dxa"/>
          </w:tcPr>
          <w:p w:rsidR="00EE1C68" w:rsidRPr="005F6E65" w:rsidRDefault="00EE1C68" w:rsidP="000452FF">
            <w:pPr>
              <w:spacing w:line="440" w:lineRule="exact"/>
              <w:jc w:val="center"/>
              <w:rPr>
                <w:rFonts w:ascii="宋体"/>
              </w:rPr>
            </w:pPr>
            <w:r w:rsidRPr="005F6E65">
              <w:rPr>
                <w:rFonts w:ascii="宋体" w:hAnsi="宋体" w:hint="eastAsia"/>
              </w:rPr>
              <w:t>资金来源说明</w:t>
            </w:r>
          </w:p>
        </w:tc>
        <w:tc>
          <w:tcPr>
            <w:tcW w:w="10543" w:type="dxa"/>
            <w:gridSpan w:val="14"/>
          </w:tcPr>
          <w:p w:rsidR="00EE1C68" w:rsidRPr="005F6E65" w:rsidRDefault="00EE1C68" w:rsidP="000452FF">
            <w:pPr>
              <w:spacing w:line="440" w:lineRule="exact"/>
              <w:rPr>
                <w:rFonts w:ascii="宋体"/>
              </w:rPr>
            </w:pPr>
            <w:r w:rsidRPr="005F6E65">
              <w:rPr>
                <w:rFonts w:ascii="宋体"/>
              </w:rPr>
              <w:t> </w:t>
            </w:r>
          </w:p>
        </w:tc>
      </w:tr>
      <w:tr w:rsidR="00EE1C68" w:rsidRPr="005F6E65" w:rsidTr="000452FF">
        <w:trPr>
          <w:trHeight w:val="939"/>
          <w:jc w:val="center"/>
        </w:trPr>
        <w:tc>
          <w:tcPr>
            <w:tcW w:w="678" w:type="dxa"/>
          </w:tcPr>
          <w:p w:rsidR="00EE1C68" w:rsidRPr="005F6E65" w:rsidRDefault="00EE1C68" w:rsidP="000452FF">
            <w:pPr>
              <w:spacing w:line="440" w:lineRule="exact"/>
              <w:jc w:val="center"/>
              <w:rPr>
                <w:rFonts w:ascii="宋体"/>
              </w:rPr>
            </w:pPr>
            <w:r w:rsidRPr="005F6E65">
              <w:rPr>
                <w:rFonts w:ascii="宋体" w:hAnsi="宋体" w:hint="eastAsia"/>
              </w:rPr>
              <w:t>会员单位意见</w:t>
            </w:r>
          </w:p>
        </w:tc>
        <w:tc>
          <w:tcPr>
            <w:tcW w:w="10543" w:type="dxa"/>
            <w:gridSpan w:val="14"/>
          </w:tcPr>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r w:rsidRPr="005F6E65">
              <w:rPr>
                <w:rFonts w:ascii="宋体" w:hAnsi="宋体" w:hint="eastAsia"/>
              </w:rPr>
              <w:t>会员单位盖章：</w:t>
            </w:r>
            <w:r w:rsidRPr="005F6E65">
              <w:rPr>
                <w:rFonts w:ascii="宋体" w:hAnsi="宋体"/>
              </w:rPr>
              <w:t xml:space="preserve">                                </w:t>
            </w:r>
            <w:r w:rsidRPr="005F6E65">
              <w:rPr>
                <w:rFonts w:ascii="宋体" w:hAnsi="宋体" w:hint="eastAsia"/>
              </w:rPr>
              <w:t>负责人签字：</w:t>
            </w:r>
            <w:r w:rsidRPr="005F6E65">
              <w:rPr>
                <w:rFonts w:ascii="宋体" w:hAnsi="宋体"/>
              </w:rPr>
              <w:t xml:space="preserve">                              </w:t>
            </w:r>
            <w:r w:rsidRPr="005F6E65">
              <w:rPr>
                <w:rFonts w:ascii="宋体" w:hAnsi="宋体" w:hint="eastAsia"/>
              </w:rPr>
              <w:t>年</w:t>
            </w:r>
            <w:r w:rsidRPr="005F6E65">
              <w:rPr>
                <w:rFonts w:ascii="宋体" w:hAnsi="宋体"/>
              </w:rPr>
              <w:t xml:space="preserve">   </w:t>
            </w:r>
            <w:r w:rsidRPr="005F6E65">
              <w:rPr>
                <w:rFonts w:ascii="宋体" w:hAnsi="宋体" w:hint="eastAsia"/>
              </w:rPr>
              <w:t>月</w:t>
            </w:r>
            <w:r w:rsidRPr="005F6E65">
              <w:rPr>
                <w:rFonts w:ascii="宋体" w:hAnsi="宋体"/>
              </w:rPr>
              <w:t xml:space="preserve">   </w:t>
            </w:r>
            <w:r w:rsidRPr="005F6E65">
              <w:rPr>
                <w:rFonts w:ascii="宋体" w:hAnsi="宋体" w:hint="eastAsia"/>
              </w:rPr>
              <w:t>日</w:t>
            </w:r>
          </w:p>
        </w:tc>
      </w:tr>
      <w:tr w:rsidR="00EE1C68" w:rsidRPr="005F6E65" w:rsidTr="000452FF">
        <w:trPr>
          <w:trHeight w:val="768"/>
          <w:jc w:val="center"/>
        </w:trPr>
        <w:tc>
          <w:tcPr>
            <w:tcW w:w="678" w:type="dxa"/>
          </w:tcPr>
          <w:p w:rsidR="00EE1C68" w:rsidRPr="005F6E65" w:rsidRDefault="00EE1C68" w:rsidP="000452FF">
            <w:pPr>
              <w:spacing w:line="440" w:lineRule="exact"/>
              <w:jc w:val="center"/>
              <w:rPr>
                <w:rFonts w:ascii="宋体"/>
              </w:rPr>
            </w:pPr>
            <w:r w:rsidRPr="005F6E65">
              <w:rPr>
                <w:rFonts w:ascii="宋体" w:hAnsi="宋体" w:hint="eastAsia"/>
              </w:rPr>
              <w:t>交易所</w:t>
            </w:r>
            <w:r w:rsidRPr="005F6E65">
              <w:rPr>
                <w:rFonts w:ascii="宋体" w:hAnsi="宋体"/>
              </w:rPr>
              <w:t xml:space="preserve"> </w:t>
            </w:r>
          </w:p>
          <w:p w:rsidR="00EE1C68" w:rsidRPr="005F6E65" w:rsidRDefault="00EE1C68" w:rsidP="000452FF">
            <w:pPr>
              <w:spacing w:line="440" w:lineRule="exact"/>
              <w:jc w:val="center"/>
              <w:rPr>
                <w:rFonts w:ascii="宋体"/>
              </w:rPr>
            </w:pPr>
            <w:r w:rsidRPr="005F6E65">
              <w:rPr>
                <w:rFonts w:ascii="宋体" w:hAnsi="宋体" w:hint="eastAsia"/>
              </w:rPr>
              <w:t>意见</w:t>
            </w:r>
          </w:p>
        </w:tc>
        <w:tc>
          <w:tcPr>
            <w:tcW w:w="10543" w:type="dxa"/>
            <w:gridSpan w:val="14"/>
          </w:tcPr>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p>
          <w:p w:rsidR="00EE1C68" w:rsidRPr="005F6E65" w:rsidRDefault="00EE1C68" w:rsidP="000452FF">
            <w:pPr>
              <w:spacing w:line="440" w:lineRule="exact"/>
              <w:rPr>
                <w:rFonts w:ascii="宋体"/>
              </w:rPr>
            </w:pPr>
            <w:r w:rsidRPr="005F6E65">
              <w:rPr>
                <w:rFonts w:ascii="宋体" w:hAnsi="宋体" w:hint="eastAsia"/>
              </w:rPr>
              <w:t xml:space="preserve">　</w:t>
            </w:r>
          </w:p>
          <w:p w:rsidR="00EE1C68" w:rsidRPr="005F6E65" w:rsidRDefault="00EE1C68" w:rsidP="000452FF">
            <w:pPr>
              <w:spacing w:line="440" w:lineRule="exact"/>
              <w:rPr>
                <w:rFonts w:ascii="宋体"/>
              </w:rPr>
            </w:pPr>
            <w:r w:rsidRPr="005F6E65">
              <w:rPr>
                <w:rFonts w:ascii="宋体" w:hAnsi="宋体" w:hint="eastAsia"/>
              </w:rPr>
              <w:t>交易所盖章：</w:t>
            </w:r>
            <w:r w:rsidRPr="005F6E65">
              <w:rPr>
                <w:rFonts w:ascii="宋体" w:hAnsi="宋体"/>
              </w:rPr>
              <w:t xml:space="preserve">                                  </w:t>
            </w:r>
            <w:r w:rsidRPr="005F6E65">
              <w:rPr>
                <w:rFonts w:ascii="宋体" w:hAnsi="宋体" w:hint="eastAsia"/>
              </w:rPr>
              <w:t>负责人签字：</w:t>
            </w:r>
            <w:r w:rsidRPr="005F6E65">
              <w:rPr>
                <w:rFonts w:ascii="宋体" w:hAnsi="宋体"/>
              </w:rPr>
              <w:t xml:space="preserve">                              </w:t>
            </w:r>
            <w:r w:rsidRPr="005F6E65">
              <w:rPr>
                <w:rFonts w:ascii="宋体" w:hAnsi="宋体" w:hint="eastAsia"/>
              </w:rPr>
              <w:t>年</w:t>
            </w:r>
            <w:r w:rsidRPr="005F6E65">
              <w:rPr>
                <w:rFonts w:ascii="宋体" w:hAnsi="宋体"/>
              </w:rPr>
              <w:t xml:space="preserve">   </w:t>
            </w:r>
            <w:r w:rsidRPr="005F6E65">
              <w:rPr>
                <w:rFonts w:ascii="宋体" w:hAnsi="宋体" w:hint="eastAsia"/>
              </w:rPr>
              <w:t>月</w:t>
            </w:r>
            <w:r w:rsidRPr="005F6E65">
              <w:rPr>
                <w:rFonts w:ascii="宋体" w:hAnsi="宋体"/>
              </w:rPr>
              <w:t xml:space="preserve">   </w:t>
            </w:r>
            <w:r w:rsidRPr="005F6E65">
              <w:rPr>
                <w:rFonts w:ascii="宋体" w:hAnsi="宋体" w:hint="eastAsia"/>
              </w:rPr>
              <w:t>日</w:t>
            </w:r>
          </w:p>
        </w:tc>
      </w:tr>
    </w:tbl>
    <w:p w:rsidR="0076305F" w:rsidRPr="00EE1C68" w:rsidRDefault="0076305F"/>
    <w:sectPr w:rsidR="0076305F" w:rsidRPr="00EE1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8"/>
    <w:rsid w:val="0003501E"/>
    <w:rsid w:val="0076305F"/>
    <w:rsid w:val="00EE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5AAD"/>
  <w15:chartTrackingRefBased/>
  <w15:docId w15:val="{A863FCE7-5295-4E2F-8253-AE95BFF5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68"/>
    <w:pPr>
      <w:widowControl w:val="0"/>
      <w:jc w:val="both"/>
    </w:pPr>
    <w:rPr>
      <w:rFonts w:ascii="Calibri" w:eastAsia="宋体" w:hAnsi="Calibri" w:cs="Calibri"/>
      <w:szCs w:val="21"/>
    </w:rPr>
  </w:style>
  <w:style w:type="paragraph" w:styleId="2">
    <w:name w:val="heading 2"/>
    <w:basedOn w:val="a"/>
    <w:next w:val="a"/>
    <w:link w:val="20"/>
    <w:uiPriority w:val="9"/>
    <w:unhideWhenUsed/>
    <w:qFormat/>
    <w:rsid w:val="00EE1C68"/>
    <w:pPr>
      <w:keepNext/>
      <w:keepLines/>
      <w:spacing w:before="260" w:after="260" w:line="416" w:lineRule="auto"/>
      <w:outlineLvl w:val="1"/>
    </w:pPr>
    <w:rPr>
      <w:rFonts w:ascii="Cambria" w:eastAsia="仿宋_GB2312"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E1C68"/>
    <w:rPr>
      <w:rFonts w:ascii="Cambria" w:eastAsia="仿宋_GB2312" w:hAnsi="Cambria" w:cs="Times New Roman"/>
      <w:b/>
      <w:bCs/>
      <w:sz w:val="32"/>
      <w:szCs w:val="32"/>
    </w:rPr>
  </w:style>
  <w:style w:type="character" w:styleId="a3">
    <w:name w:val="Hyperlink"/>
    <w:uiPriority w:val="99"/>
    <w:unhideWhenUsed/>
    <w:rsid w:val="00EE1C68"/>
    <w:rPr>
      <w:color w:val="0563C1"/>
      <w:u w:val="single"/>
    </w:rPr>
  </w:style>
  <w:style w:type="character" w:styleId="a4">
    <w:name w:val="page number"/>
    <w:basedOn w:val="a0"/>
    <w:rsid w:val="00EE1C68"/>
  </w:style>
  <w:style w:type="character" w:customStyle="1" w:styleId="a5">
    <w:name w:val="页脚 字符"/>
    <w:link w:val="a6"/>
    <w:uiPriority w:val="99"/>
    <w:locked/>
    <w:rsid w:val="00EE1C68"/>
    <w:rPr>
      <w:rFonts w:ascii="Calibri" w:eastAsia="宋体" w:hAnsi="Calibri" w:cs="Calibri"/>
      <w:sz w:val="18"/>
      <w:szCs w:val="18"/>
    </w:rPr>
  </w:style>
  <w:style w:type="character" w:customStyle="1" w:styleId="a7">
    <w:name w:val="页眉 字符"/>
    <w:link w:val="a8"/>
    <w:uiPriority w:val="99"/>
    <w:rsid w:val="00EE1C68"/>
    <w:rPr>
      <w:rFonts w:ascii="Calibri" w:hAnsi="Calibri" w:cs="Calibri"/>
      <w:sz w:val="18"/>
      <w:szCs w:val="18"/>
    </w:rPr>
  </w:style>
  <w:style w:type="character" w:customStyle="1" w:styleId="font21">
    <w:name w:val="font21"/>
    <w:rsid w:val="00EE1C68"/>
    <w:rPr>
      <w:rFonts w:ascii="宋体" w:eastAsia="宋体" w:hAnsi="宋体" w:cs="宋体" w:hint="eastAsia"/>
      <w:i w:val="0"/>
      <w:iCs w:val="0"/>
      <w:strike w:val="0"/>
      <w:dstrike w:val="0"/>
      <w:color w:val="000000"/>
      <w:sz w:val="20"/>
      <w:szCs w:val="20"/>
      <w:u w:val="none"/>
    </w:rPr>
  </w:style>
  <w:style w:type="character" w:customStyle="1" w:styleId="font01">
    <w:name w:val="font01"/>
    <w:rsid w:val="00EE1C68"/>
    <w:rPr>
      <w:rFonts w:ascii="Arial" w:hAnsi="Arial" w:cs="Arial" w:hint="default"/>
      <w:i w:val="0"/>
      <w:iCs w:val="0"/>
      <w:strike w:val="0"/>
      <w:dstrike w:val="0"/>
      <w:color w:val="000000"/>
      <w:sz w:val="20"/>
      <w:szCs w:val="20"/>
      <w:u w:val="none"/>
    </w:rPr>
  </w:style>
  <w:style w:type="paragraph" w:styleId="a9">
    <w:name w:val="Date"/>
    <w:basedOn w:val="a"/>
    <w:next w:val="a"/>
    <w:link w:val="aa"/>
    <w:rsid w:val="00EE1C68"/>
    <w:pPr>
      <w:ind w:leftChars="2500" w:left="100"/>
    </w:pPr>
  </w:style>
  <w:style w:type="character" w:customStyle="1" w:styleId="aa">
    <w:name w:val="日期 字符"/>
    <w:basedOn w:val="a0"/>
    <w:link w:val="a9"/>
    <w:rsid w:val="00EE1C68"/>
    <w:rPr>
      <w:rFonts w:ascii="Calibri" w:eastAsia="宋体" w:hAnsi="Calibri" w:cs="Calibri"/>
      <w:szCs w:val="21"/>
    </w:rPr>
  </w:style>
  <w:style w:type="paragraph" w:styleId="a8">
    <w:name w:val="header"/>
    <w:basedOn w:val="a"/>
    <w:link w:val="a7"/>
    <w:uiPriority w:val="99"/>
    <w:rsid w:val="00EE1C6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1">
    <w:name w:val="页眉 字符1"/>
    <w:basedOn w:val="a0"/>
    <w:uiPriority w:val="99"/>
    <w:semiHidden/>
    <w:rsid w:val="00EE1C68"/>
    <w:rPr>
      <w:rFonts w:ascii="Calibri" w:eastAsia="宋体" w:hAnsi="Calibri" w:cs="Calibri"/>
      <w:sz w:val="18"/>
      <w:szCs w:val="18"/>
    </w:rPr>
  </w:style>
  <w:style w:type="paragraph" w:styleId="ab">
    <w:name w:val="Balloon Text"/>
    <w:basedOn w:val="a"/>
    <w:link w:val="ac"/>
    <w:uiPriority w:val="99"/>
    <w:semiHidden/>
    <w:rsid w:val="00EE1C68"/>
    <w:rPr>
      <w:sz w:val="18"/>
      <w:szCs w:val="18"/>
    </w:rPr>
  </w:style>
  <w:style w:type="character" w:customStyle="1" w:styleId="ac">
    <w:name w:val="批注框文本 字符"/>
    <w:basedOn w:val="a0"/>
    <w:link w:val="ab"/>
    <w:uiPriority w:val="99"/>
    <w:semiHidden/>
    <w:rsid w:val="00EE1C68"/>
    <w:rPr>
      <w:rFonts w:ascii="Calibri" w:eastAsia="宋体" w:hAnsi="Calibri" w:cs="Calibri"/>
      <w:sz w:val="18"/>
      <w:szCs w:val="18"/>
    </w:rPr>
  </w:style>
  <w:style w:type="paragraph" w:styleId="a6">
    <w:name w:val="footer"/>
    <w:basedOn w:val="a"/>
    <w:link w:val="a5"/>
    <w:uiPriority w:val="99"/>
    <w:rsid w:val="00EE1C68"/>
    <w:pPr>
      <w:tabs>
        <w:tab w:val="center" w:pos="4153"/>
        <w:tab w:val="right" w:pos="8306"/>
      </w:tabs>
      <w:snapToGrid w:val="0"/>
      <w:jc w:val="left"/>
    </w:pPr>
    <w:rPr>
      <w:sz w:val="18"/>
      <w:szCs w:val="18"/>
    </w:rPr>
  </w:style>
  <w:style w:type="character" w:customStyle="1" w:styleId="10">
    <w:name w:val="页脚 字符1"/>
    <w:basedOn w:val="a0"/>
    <w:uiPriority w:val="99"/>
    <w:semiHidden/>
    <w:rsid w:val="00EE1C68"/>
    <w:rPr>
      <w:rFonts w:ascii="Calibri" w:eastAsia="宋体" w:hAnsi="Calibri" w:cs="Calibri"/>
      <w:sz w:val="18"/>
      <w:szCs w:val="18"/>
    </w:rPr>
  </w:style>
  <w:style w:type="paragraph" w:styleId="ad">
    <w:name w:val="Normal (Web)"/>
    <w:basedOn w:val="a"/>
    <w:uiPriority w:val="99"/>
    <w:rsid w:val="00EE1C68"/>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 w:type="paragraph" w:customStyle="1" w:styleId="Default">
    <w:name w:val="Default"/>
    <w:rsid w:val="00EE1C68"/>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谭乃夫</dc:creator>
  <cp:keywords/>
  <dc:description/>
  <cp:lastModifiedBy>谭乃夫</cp:lastModifiedBy>
  <cp:revision>1</cp:revision>
  <dcterms:created xsi:type="dcterms:W3CDTF">2018-11-23T08:22:00Z</dcterms:created>
  <dcterms:modified xsi:type="dcterms:W3CDTF">2018-11-23T08:22:00Z</dcterms:modified>
</cp:coreProperties>
</file>