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wordWrap w:val="0"/>
        <w:autoSpaceDE/>
        <w:autoSpaceDN/>
        <w:spacing w:before="0" w:after="0" w:line="240" w:lineRule="auto"/>
        <w:ind w:right="0" w:firstLine="0"/>
        <w:jc w:val="center"/>
        <w:rPr>
          <w:rFonts w:hint="eastAsia" w:ascii="仿宋" w:hAnsi="仿宋" w:eastAsia="仿宋" w:cs="仿宋"/>
          <w:b/>
          <w:smallCaps w:val="0"/>
          <w:color w:val="auto"/>
          <w:spacing w:val="0"/>
          <w:position w:val="0"/>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仿宋" w:hAnsi="仿宋" w:eastAsia="仿宋" w:cs="仿宋"/>
          <w:b w:val="0"/>
          <w:i w:val="0"/>
          <w:caps w:val="0"/>
          <w:color w:val="545454"/>
          <w:spacing w:val="8"/>
          <w:sz w:val="24"/>
          <w:szCs w:val="24"/>
          <w:lang w:val="en-US" w:eastAsia="zh-CN"/>
        </w:rPr>
      </w:pPr>
      <w:r>
        <w:rPr>
          <w:rFonts w:hint="eastAsia" w:ascii="仿宋" w:hAnsi="仿宋" w:eastAsia="仿宋"/>
          <w:b/>
          <w:sz w:val="36"/>
          <w:lang w:val="en-US" w:eastAsia="zh-CN"/>
        </w:rPr>
        <w:t>白糖2009：放量增仓突破重大压力线</w:t>
      </w:r>
    </w:p>
    <w:p>
      <w:pPr>
        <w:rPr>
          <w:rFonts w:hint="eastAsia" w:ascii="仿宋" w:hAnsi="仿宋" w:eastAsia="仿宋" w:cs="仿宋"/>
          <w:i w:val="0"/>
          <w:caps w:val="0"/>
          <w:color w:val="000000"/>
          <w:spacing w:val="0"/>
          <w:sz w:val="24"/>
          <w:szCs w:val="24"/>
          <w:shd w:val="clear" w:fill="FFFFFF"/>
          <w:lang w:val="en-US" w:eastAsia="zh-CN"/>
        </w:rPr>
      </w:pPr>
      <w:r>
        <w:rPr>
          <w:rFonts w:hint="eastAsia"/>
        </w:rPr>
        <w:t xml:space="preserve"> </w:t>
      </w:r>
      <w:r>
        <w:rPr>
          <w:rFonts w:hint="eastAsia"/>
          <w:lang w:val="en-US" w:eastAsia="zh-CN"/>
        </w:rPr>
        <w:t xml:space="preserve">   </w:t>
      </w:r>
      <w:r>
        <w:rPr>
          <w:rFonts w:hint="eastAsia" w:ascii="仿宋" w:hAnsi="仿宋" w:eastAsia="仿宋" w:cs="仿宋"/>
          <w:i w:val="0"/>
          <w:caps w:val="0"/>
          <w:color w:val="000000"/>
          <w:spacing w:val="0"/>
          <w:sz w:val="24"/>
          <w:szCs w:val="24"/>
          <w:shd w:val="clear" w:fill="FFFFFF"/>
          <w:lang w:val="en-US" w:eastAsia="zh-CN"/>
        </w:rPr>
        <w:t>白糖是郑商所的老品种，走势一贯特立独行，不走寻常路。熟悉它的投资者会发现，大多数时候，它既不紧跟外盘亦不随国内农产品主流，而是坚持运行自己的逻辑规律。但即便如此，细心的投资者还是能从技术走势中透露出的盘口语言捕捉到交易机会。</w:t>
      </w:r>
    </w:p>
    <w:p>
      <w:pPr>
        <w:rPr>
          <w:rFonts w:hint="eastAsia" w:ascii="仿宋" w:hAnsi="仿宋" w:eastAsia="仿宋" w:cs="仿宋"/>
          <w:i w:val="0"/>
          <w:caps w:val="0"/>
          <w:color w:val="000000"/>
          <w:spacing w:val="0"/>
          <w:sz w:val="24"/>
          <w:szCs w:val="24"/>
          <w:shd w:val="clear" w:fill="FFFFFF"/>
          <w:lang w:val="en-US" w:eastAsia="zh-CN"/>
        </w:rPr>
      </w:pPr>
      <w:r>
        <w:rPr>
          <w:rFonts w:hint="eastAsia" w:ascii="仿宋" w:hAnsi="仿宋" w:eastAsia="仿宋" w:cs="仿宋"/>
          <w:i w:val="0"/>
          <w:caps w:val="0"/>
          <w:color w:val="000000"/>
          <w:spacing w:val="0"/>
          <w:sz w:val="24"/>
          <w:szCs w:val="24"/>
          <w:shd w:val="clear" w:fill="FFFFFF"/>
          <w:lang w:val="en-US" w:eastAsia="zh-CN"/>
        </w:rPr>
        <w:drawing>
          <wp:inline distT="0" distB="0" distL="114300" distR="114300">
            <wp:extent cx="5271770" cy="2996565"/>
            <wp:effectExtent l="0" t="0" r="5080" b="13335"/>
            <wp:docPr id="1" name="图片 1" descr="白糖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白糖2009"/>
                    <pic:cNvPicPr>
                      <a:picLocks noChangeAspect="1"/>
                    </pic:cNvPicPr>
                  </pic:nvPicPr>
                  <pic:blipFill>
                    <a:blip r:embed="rId10"/>
                    <a:stretch>
                      <a:fillRect/>
                    </a:stretch>
                  </pic:blipFill>
                  <pic:spPr>
                    <a:xfrm>
                      <a:off x="0" y="0"/>
                      <a:ext cx="5271770" cy="2996565"/>
                    </a:xfrm>
                    <a:prstGeom prst="rect">
                      <a:avLst/>
                    </a:prstGeom>
                  </pic:spPr>
                </pic:pic>
              </a:graphicData>
            </a:graphic>
          </wp:inline>
        </w:drawing>
      </w:r>
    </w:p>
    <w:p>
      <w:pPr>
        <w:tabs>
          <w:tab w:val="left" w:pos="7551"/>
        </w:tabs>
        <w:rPr>
          <w:rFonts w:hint="eastAsia" w:ascii="仿宋" w:hAnsi="仿宋" w:eastAsia="仿宋" w:cs="仿宋"/>
          <w:sz w:val="24"/>
          <w:szCs w:val="24"/>
        </w:rPr>
      </w:pPr>
      <w:r>
        <w:rPr>
          <w:rFonts w:hint="eastAsia" w:ascii="仿宋" w:hAnsi="仿宋" w:eastAsia="仿宋" w:cs="仿宋"/>
          <w:sz w:val="24"/>
          <w:szCs w:val="24"/>
        </w:rPr>
        <w:t>图片数据来源自博易大师</w:t>
      </w:r>
    </w:p>
    <w:p>
      <w:pPr>
        <w:rPr>
          <w:rFonts w:hint="eastAsia" w:ascii="仿宋" w:hAnsi="仿宋" w:eastAsia="仿宋" w:cs="仿宋"/>
          <w:i w:val="0"/>
          <w:caps w:val="0"/>
          <w:color w:val="000000"/>
          <w:spacing w:val="0"/>
          <w:sz w:val="24"/>
          <w:szCs w:val="24"/>
          <w:shd w:val="clear" w:fill="FFFFFF"/>
          <w:lang w:val="en-US" w:eastAsia="zh-CN"/>
        </w:rPr>
      </w:pPr>
    </w:p>
    <w:p>
      <w:pPr>
        <w:ind w:firstLine="480" w:firstLineChars="200"/>
        <w:rPr>
          <w:rFonts w:hint="eastAsia" w:ascii="仿宋" w:hAnsi="仿宋" w:eastAsia="仿宋" w:cs="仿宋"/>
          <w:i w:val="0"/>
          <w:caps w:val="0"/>
          <w:color w:val="000000"/>
          <w:spacing w:val="0"/>
          <w:sz w:val="24"/>
          <w:szCs w:val="24"/>
          <w:shd w:val="clear" w:fill="FFFFFF"/>
          <w:lang w:val="en-US" w:eastAsia="zh-CN"/>
        </w:rPr>
      </w:pPr>
      <w:r>
        <w:rPr>
          <w:rFonts w:hint="eastAsia" w:ascii="仿宋" w:hAnsi="仿宋" w:eastAsia="仿宋" w:cs="仿宋"/>
          <w:i w:val="0"/>
          <w:caps w:val="0"/>
          <w:color w:val="000000"/>
          <w:spacing w:val="0"/>
          <w:sz w:val="24"/>
          <w:szCs w:val="24"/>
          <w:shd w:val="clear" w:fill="FFFFFF"/>
          <w:lang w:val="en-US" w:eastAsia="zh-CN"/>
        </w:rPr>
        <w:t>如上图所示，白糖主力合约2009自年初高点5925一路震荡下跌，期间始终受压力线压制，多次反抽到压力线都无功而返。但在5月20日夜盘，开盘即跳空高开在压力线之上，不仅一举突破压力线，同时也上穿图中另一条黄线20日线均线，此种对两个压力指标的同时穿破，可参考性极高。</w:t>
      </w:r>
    </w:p>
    <w:p>
      <w:pPr>
        <w:rPr>
          <w:rFonts w:hint="eastAsia" w:ascii="仿宋" w:hAnsi="仿宋" w:eastAsia="仿宋" w:cs="仿宋"/>
          <w:i w:val="0"/>
          <w:caps w:val="0"/>
          <w:color w:val="000000"/>
          <w:spacing w:val="0"/>
          <w:sz w:val="24"/>
          <w:szCs w:val="24"/>
          <w:shd w:val="clear" w:fill="FFFFFF"/>
          <w:lang w:val="en-US" w:eastAsia="zh-CN"/>
        </w:rPr>
      </w:pPr>
      <w:r>
        <w:rPr>
          <w:rFonts w:hint="eastAsia" w:ascii="仿宋" w:hAnsi="仿宋" w:eastAsia="仿宋" w:cs="仿宋"/>
          <w:i w:val="0"/>
          <w:caps w:val="0"/>
          <w:color w:val="000000"/>
          <w:spacing w:val="0"/>
          <w:sz w:val="24"/>
          <w:szCs w:val="24"/>
          <w:shd w:val="clear" w:fill="FFFFFF"/>
          <w:lang w:val="en-US" w:eastAsia="zh-CN"/>
        </w:rPr>
        <w:drawing>
          <wp:inline distT="0" distB="0" distL="114300" distR="114300">
            <wp:extent cx="5259070" cy="2978150"/>
            <wp:effectExtent l="0" t="0" r="17780" b="12700"/>
            <wp:docPr id="2" name="图片 2" descr="外盘白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外盘白糖"/>
                    <pic:cNvPicPr>
                      <a:picLocks noChangeAspect="1"/>
                    </pic:cNvPicPr>
                  </pic:nvPicPr>
                  <pic:blipFill>
                    <a:blip r:embed="rId11"/>
                    <a:stretch>
                      <a:fillRect/>
                    </a:stretch>
                  </pic:blipFill>
                  <pic:spPr>
                    <a:xfrm>
                      <a:off x="0" y="0"/>
                      <a:ext cx="5259070" cy="2978150"/>
                    </a:xfrm>
                    <a:prstGeom prst="rect">
                      <a:avLst/>
                    </a:prstGeom>
                  </pic:spPr>
                </pic:pic>
              </a:graphicData>
            </a:graphic>
          </wp:inline>
        </w:drawing>
      </w:r>
    </w:p>
    <w:p>
      <w:pPr>
        <w:tabs>
          <w:tab w:val="left" w:pos="7551"/>
        </w:tabs>
        <w:rPr>
          <w:rFonts w:hint="eastAsia" w:ascii="仿宋" w:hAnsi="仿宋" w:eastAsia="仿宋" w:cs="仿宋"/>
          <w:sz w:val="24"/>
          <w:szCs w:val="24"/>
        </w:rPr>
      </w:pPr>
      <w:r>
        <w:rPr>
          <w:rFonts w:hint="eastAsia" w:ascii="仿宋" w:hAnsi="仿宋" w:eastAsia="仿宋" w:cs="仿宋"/>
          <w:sz w:val="24"/>
          <w:szCs w:val="24"/>
        </w:rPr>
        <w:t>图片数据来源自博易大师</w:t>
      </w:r>
    </w:p>
    <w:p>
      <w:pPr>
        <w:rPr>
          <w:rFonts w:hint="eastAsia" w:ascii="仿宋" w:hAnsi="仿宋" w:eastAsia="仿宋" w:cs="仿宋"/>
          <w:i w:val="0"/>
          <w:caps w:val="0"/>
          <w:color w:val="000000"/>
          <w:spacing w:val="0"/>
          <w:sz w:val="24"/>
          <w:szCs w:val="24"/>
          <w:shd w:val="clear" w:fill="FFFFFF"/>
          <w:lang w:val="en-US" w:eastAsia="zh-CN"/>
        </w:rPr>
      </w:pPr>
    </w:p>
    <w:p>
      <w:pPr>
        <w:rPr>
          <w:rFonts w:hint="eastAsia" w:ascii="仿宋" w:hAnsi="仿宋" w:eastAsia="仿宋" w:cs="仿宋"/>
          <w:i w:val="0"/>
          <w:caps w:val="0"/>
          <w:color w:val="000000"/>
          <w:spacing w:val="0"/>
          <w:sz w:val="24"/>
          <w:szCs w:val="24"/>
          <w:shd w:val="clear" w:fill="FFFFFF"/>
          <w:lang w:val="en-US" w:eastAsia="zh-CN"/>
        </w:rPr>
      </w:pPr>
    </w:p>
    <w:p>
      <w:pPr>
        <w:numPr>
          <w:ilvl w:val="0"/>
          <w:numId w:val="0"/>
        </w:numPr>
        <w:wordWrap w:val="0"/>
        <w:autoSpaceDE/>
        <w:autoSpaceDN/>
        <w:spacing w:before="0" w:after="0" w:line="240" w:lineRule="auto"/>
        <w:ind w:right="0" w:firstLine="480" w:firstLineChars="200"/>
        <w:jc w:val="left"/>
        <w:rPr>
          <w:rFonts w:hint="eastAsia" w:ascii="仿宋" w:hAnsi="仿宋" w:eastAsia="仿宋" w:cs="仿宋"/>
          <w:smallCaps w:val="0"/>
          <w:color w:val="auto"/>
          <w:spacing w:val="0"/>
          <w:position w:val="0"/>
          <w:sz w:val="24"/>
          <w:szCs w:val="24"/>
        </w:rPr>
      </w:pPr>
      <w:r>
        <w:rPr>
          <w:rFonts w:hint="eastAsia" w:ascii="仿宋" w:hAnsi="仿宋" w:eastAsia="仿宋" w:cs="仿宋"/>
          <w:i w:val="0"/>
          <w:caps w:val="0"/>
          <w:color w:val="000000"/>
          <w:spacing w:val="0"/>
          <w:sz w:val="24"/>
          <w:szCs w:val="24"/>
          <w:shd w:val="clear" w:fill="FFFFFF"/>
          <w:lang w:val="en-US" w:eastAsia="zh-CN"/>
        </w:rPr>
        <w:t>再来看看外盘，早已形成标准的头肩底形态，正在慢慢上攻颈线。反观国内白糖2009，更像W底形态。后市有两种较大的可能：比较弱的一种，今天的反抽昙花一现，震荡后再度沿压力线继续下跌，另一种，继续放量增仓强势攻击5180一带的颈线位置，同时外盘继续上涨助攻，则较大可能出现大级别反弹行情。</w:t>
      </w:r>
    </w:p>
    <w:p>
      <w:pPr>
        <w:tabs>
          <w:tab w:val="left" w:pos="7551"/>
        </w:tabs>
        <w:jc w:val="center"/>
        <w:rPr>
          <w:rFonts w:hint="eastAsia" w:eastAsiaTheme="minorEastAsia"/>
          <w:lang w:eastAsia="zh-CN"/>
        </w:rPr>
      </w:pPr>
    </w:p>
    <w:p>
      <w:pPr>
        <w:jc w:val="cente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drawing>
          <wp:inline distT="0" distB="0" distL="114300" distR="114300">
            <wp:extent cx="3505200" cy="3657600"/>
            <wp:effectExtent l="0" t="0" r="0" b="0"/>
            <wp:docPr id="3" name="图片 3" descr="研究所开户二维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研究所开户二维码1"/>
                    <pic:cNvPicPr>
                      <a:picLocks noChangeAspect="1"/>
                    </pic:cNvPicPr>
                  </pic:nvPicPr>
                  <pic:blipFill>
                    <a:blip r:embed="rId12"/>
                    <a:stretch>
                      <a:fillRect/>
                    </a:stretch>
                  </pic:blipFill>
                  <pic:spPr>
                    <a:xfrm>
                      <a:off x="0" y="0"/>
                      <a:ext cx="3505200" cy="3657600"/>
                    </a:xfrm>
                    <a:prstGeom prst="rect">
                      <a:avLst/>
                    </a:prstGeom>
                  </pic:spPr>
                </pic:pic>
              </a:graphicData>
            </a:graphic>
          </wp:inline>
        </w:drawing>
      </w:r>
    </w:p>
    <w:p>
      <w:pPr>
        <w:jc w:val="center"/>
        <w:rPr>
          <w:rFonts w:ascii="仿宋" w:hAnsi="仿宋" w:eastAsia="仿宋" w:cs="仿宋"/>
          <w:sz w:val="24"/>
          <w:szCs w:val="24"/>
        </w:rPr>
      </w:pPr>
    </w:p>
    <w:p>
      <w:r>
        <mc:AlternateContent>
          <mc:Choice Requires="wps">
            <w:drawing>
              <wp:anchor distT="0" distB="0" distL="114300" distR="114300" simplePos="0" relativeHeight="251661312" behindDoc="0" locked="0" layoutInCell="1" allowOverlap="1">
                <wp:simplePos x="0" y="0"/>
                <wp:positionH relativeFrom="column">
                  <wp:posOffset>71755</wp:posOffset>
                </wp:positionH>
                <wp:positionV relativeFrom="paragraph">
                  <wp:posOffset>113665</wp:posOffset>
                </wp:positionV>
                <wp:extent cx="5934710" cy="647065"/>
                <wp:effectExtent l="0" t="0" r="1905" b="317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934710" cy="647065"/>
                        </a:xfrm>
                        <a:prstGeom prst="rect">
                          <a:avLst/>
                        </a:prstGeom>
                        <a:noFill/>
                        <a:ln>
                          <a:noFill/>
                        </a:ln>
                        <a:effectLst/>
                      </wps:spPr>
                      <wps:txbx>
                        <w:txbxContent>
                          <w:p>
                            <w:pPr>
                              <w:snapToGrid w:val="0"/>
                              <w:jc w:val="center"/>
                              <w:rPr>
                                <w:rFonts w:ascii="宋体" w:hAnsi="宋体" w:eastAsia="宋体"/>
                                <w:color w:val="FFFFFF"/>
                                <w:sz w:val="20"/>
                              </w:rPr>
                            </w:pPr>
                            <w:r>
                              <w:rPr>
                                <w:rFonts w:hint="eastAsia" w:ascii="宋体" w:hAnsi="宋体" w:eastAsia="宋体"/>
                                <w:color w:val="FFFFFF"/>
                                <w:sz w:val="20"/>
                              </w:rPr>
                              <w:t>国金期货有限责任公司</w:t>
                            </w:r>
                          </w:p>
                          <w:p>
                            <w:pPr>
                              <w:snapToGrid w:val="0"/>
                              <w:jc w:val="center"/>
                              <w:rPr>
                                <w:rFonts w:ascii="宋体" w:hAnsi="宋体" w:eastAsia="宋体"/>
                                <w:color w:val="FFFFFF"/>
                                <w:sz w:val="20"/>
                              </w:rPr>
                            </w:pPr>
                            <w:r>
                              <w:rPr>
                                <w:rFonts w:ascii="宋体" w:hAnsi="宋体" w:eastAsia="宋体"/>
                                <w:color w:val="FFFFFF"/>
                                <w:sz w:val="20"/>
                              </w:rPr>
                              <w:t>联系电话：</w:t>
                            </w:r>
                            <w:r>
                              <w:rPr>
                                <w:rFonts w:hint="eastAsia" w:ascii="宋体" w:hAnsi="宋体" w:eastAsia="宋体"/>
                                <w:color w:val="FFFFFF"/>
                                <w:sz w:val="20"/>
                              </w:rPr>
                              <w:t>028-61304631</w:t>
                            </w:r>
                          </w:p>
                          <w:p>
                            <w:pPr>
                              <w:snapToGrid w:val="0"/>
                              <w:jc w:val="center"/>
                              <w:rPr>
                                <w:rFonts w:ascii="宋体" w:hAnsi="宋体" w:eastAsia="宋体"/>
                                <w:color w:val="FFFFFF"/>
                                <w:sz w:val="20"/>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65pt;margin-top:8.95pt;height:50.95pt;width:467.3pt;z-index:251661312;mso-width-relative:page;mso-height-relative:page;" filled="f" stroked="f" coordsize="21600,21600" o:gfxdata="UEsDBAoAAAAAAIdO4kAAAAAAAAAAAAAAAAAEAAAAZHJzL1BLAwQUAAAACACHTuJAZiR9mdUAAAAJ&#10;AQAADwAAAGRycy9kb3ducmV2LnhtbE2PT0/DMAzF70h8h8hI3JhT2GAtTXcAcQUx/kjcssZrKxqn&#10;arK1fHu8E5zsp/f0/HO5mX2vjjTGLrCBbKFBEdfBddwYeH97ulqDismys31gMvBDETbV+VlpCxcm&#10;fqXjNjVKSjgW1kCb0lAgxrolb+MiDMTi7cPobRI5NuhGO0m57/Fa61v0tmO50NqBHlqqv7cHb+Dj&#10;ef/1udQvzaNfDVOYNbLP0ZjLi0zfg0o0p78wnPAFHSph2oUDu6h60dmNJGXe5aDEz5crWXYnI18D&#10;ViX+/6D6BVBLAwQUAAAACACHTuJAEkyE2gACAADVAwAADgAAAGRycy9lMm9Eb2MueG1srVPNjtMw&#10;EL4j8Q6W7zRp6Q8bNV0tu1qEtPxICw/gOE5jkXjM2G1SHgDegBMX7jxXn4Oxky0FboiL5fnxN983&#10;M15f9m3D9gqdBpPz6STlTBkJpTbbnL9/d/vkGWfOC1OKBozK+UE5frl5/Gjd2UzNoIamVMgIxLis&#10;szmvvbdZkjhZq1a4CVhlKFgBtsKTidukRNERetskszRdJh1gaRGkco68N0OQbyJ+VSnp31SVU541&#10;OSduPp4YzyKcyWYtsi0KW2s50hD/wKIV2lDRE9SN8ILtUP8F1WqJ4KDyEwltAlWlpYoaSM00/UPN&#10;fS2silqoOc6e2uT+H6x8vX+LTJc5X3BmREsjOn79cvz24/j9M1uE9nTWZZR1bynP98+hpzFHqc7e&#10;gfzgmIHrWpitukKErlaiJHrT8DI5ezrguABSdK+gpDpi5yEC9RW2oXfUDUboNKbDaTSq90ySc3Hx&#10;dL6aUkhSbDlfpctILhHZw2uLzr9Q0LJwyTnS6CO62N85H9iI7CElFDNwq5smjr8xvzkocfCouD/j&#10;66Al0B+E+L7ox94UUB5IFcKwW/QX6FIDfuKso73Kufu4E6g4a14a6szFdD4PixiN+WI1IwPPI8V5&#10;RBhJUDn3nA3Xaz8s786i3tZUaZiFgSvqZqWj0EB1YDXOgHYn6h/3PCznuR2zfv3Gz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JH2Z1QAAAAkBAAAPAAAAAAAAAAEAIAAAACIAAABkcnMvZG93bnJl&#10;di54bWxQSwECFAAUAAAACACHTuJAEkyE2gACAADVAwAADgAAAAAAAAABACAAAAAkAQAAZHJzL2Uy&#10;b0RvYy54bWxQSwUGAAAAAAYABgBZAQAAlgUAAAAA&#10;">
                <v:fill on="f" focussize="0,0"/>
                <v:stroke on="f"/>
                <v:imagedata o:title=""/>
                <o:lock v:ext="edit" aspectratio="f"/>
                <v:textbox>
                  <w:txbxContent>
                    <w:p>
                      <w:pPr>
                        <w:snapToGrid w:val="0"/>
                        <w:jc w:val="center"/>
                        <w:rPr>
                          <w:rFonts w:ascii="宋体" w:hAnsi="宋体" w:eastAsia="宋体"/>
                          <w:color w:val="FFFFFF"/>
                          <w:sz w:val="20"/>
                        </w:rPr>
                      </w:pPr>
                      <w:r>
                        <w:rPr>
                          <w:rFonts w:hint="eastAsia" w:ascii="宋体" w:hAnsi="宋体" w:eastAsia="宋体"/>
                          <w:color w:val="FFFFFF"/>
                          <w:sz w:val="20"/>
                        </w:rPr>
                        <w:t>国金期货有限责任公司</w:t>
                      </w:r>
                    </w:p>
                    <w:p>
                      <w:pPr>
                        <w:snapToGrid w:val="0"/>
                        <w:jc w:val="center"/>
                        <w:rPr>
                          <w:rFonts w:ascii="宋体" w:hAnsi="宋体" w:eastAsia="宋体"/>
                          <w:color w:val="FFFFFF"/>
                          <w:sz w:val="20"/>
                        </w:rPr>
                      </w:pPr>
                      <w:r>
                        <w:rPr>
                          <w:rFonts w:ascii="宋体" w:hAnsi="宋体" w:eastAsia="宋体"/>
                          <w:color w:val="FFFFFF"/>
                          <w:sz w:val="20"/>
                        </w:rPr>
                        <w:t>联系电话：</w:t>
                      </w:r>
                      <w:r>
                        <w:rPr>
                          <w:rFonts w:hint="eastAsia" w:ascii="宋体" w:hAnsi="宋体" w:eastAsia="宋体"/>
                          <w:color w:val="FFFFFF"/>
                          <w:sz w:val="20"/>
                        </w:rPr>
                        <w:t>028-61304631</w:t>
                      </w:r>
                    </w:p>
                    <w:p>
                      <w:pPr>
                        <w:snapToGrid w:val="0"/>
                        <w:jc w:val="center"/>
                        <w:rPr>
                          <w:rFonts w:ascii="宋体" w:hAnsi="宋体" w:eastAsia="宋体"/>
                          <w:color w:val="FFFFFF"/>
                          <w:sz w:val="20"/>
                        </w:rPr>
                      </w:pPr>
                    </w:p>
                  </w:txbxContent>
                </v:textbox>
              </v:shape>
            </w:pict>
          </mc:Fallback>
        </mc:AlternateContent>
      </w:r>
      <w:r>
        <w:drawing>
          <wp:inline distT="0" distB="0" distL="0" distR="0">
            <wp:extent cx="6188710" cy="2053590"/>
            <wp:effectExtent l="0" t="0" r="254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188710" cy="2053590"/>
                    </a:xfrm>
                    <a:prstGeom prst="rect">
                      <a:avLst/>
                    </a:prstGeom>
                    <a:noFill/>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1077" w:footer="119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512"/>
      </w:tabs>
      <w:rPr>
        <w:color w:val="C55A11" w:themeColor="accent2" w:themeShade="BF"/>
      </w:rPr>
    </w:pPr>
    <w:bookmarkStart w:id="0" w:name="_GoBack"/>
    <w:bookmarkEnd w:id="0"/>
    <w:r>
      <w:rPr>
        <w:color w:val="C55A11" w:themeColor="accent2" w:themeShade="BF"/>
      </w:rPr>
      <mc:AlternateContent>
        <mc:Choice Requires="wps">
          <w:drawing>
            <wp:anchor distT="45720" distB="45720" distL="114300" distR="114300" simplePos="0" relativeHeight="251659264" behindDoc="0" locked="0" layoutInCell="1" allowOverlap="1">
              <wp:simplePos x="0" y="0"/>
              <wp:positionH relativeFrom="margin">
                <wp:posOffset>4111625</wp:posOffset>
              </wp:positionH>
              <wp:positionV relativeFrom="paragraph">
                <wp:posOffset>-144145</wp:posOffset>
              </wp:positionV>
              <wp:extent cx="2250440" cy="314960"/>
              <wp:effectExtent l="0" t="0" r="0" b="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50440" cy="314960"/>
                      </a:xfrm>
                      <a:prstGeom prst="rect">
                        <a:avLst/>
                      </a:prstGeom>
                      <a:noFill/>
                      <a:ln w="9525">
                        <a:noFill/>
                        <a:miter lim="800000"/>
                      </a:ln>
                    </wps:spPr>
                    <wps:txbx>
                      <w:txbxContent>
                        <w:p>
                          <w:pPr>
                            <w:rPr>
                              <w:color w:val="FFFFFF" w:themeColor="background1"/>
                              <w:sz w:val="24"/>
                              <w14:textFill>
                                <w14:solidFill>
                                  <w14:schemeClr w14:val="bg1"/>
                                </w14:solidFill>
                              </w14:textFill>
                            </w:rPr>
                          </w:pPr>
                          <w:r>
                            <w:rPr>
                              <w:color w:val="FFFFFF" w:themeColor="background1"/>
                              <w:sz w:val="24"/>
                              <w14:textFill>
                                <w14:solidFill>
                                  <w14:schemeClr w14:val="bg1"/>
                                </w14:solidFill>
                              </w14:textFill>
                            </w:rPr>
                            <w:t>20</w:t>
                          </w:r>
                          <w:r>
                            <w:rPr>
                              <w:rFonts w:hint="eastAsia"/>
                              <w:color w:val="FFFFFF" w:themeColor="background1"/>
                              <w:sz w:val="24"/>
                              <w14:textFill>
                                <w14:solidFill>
                                  <w14:schemeClr w14:val="bg1"/>
                                </w14:solidFill>
                              </w14:textFill>
                            </w:rPr>
                            <w:t>20.0</w:t>
                          </w:r>
                          <w:r>
                            <w:rPr>
                              <w:rFonts w:hint="eastAsia"/>
                              <w:color w:val="FFFFFF" w:themeColor="background1"/>
                              <w:sz w:val="24"/>
                              <w:lang w:val="en-US" w:eastAsia="zh-CN"/>
                              <w14:textFill>
                                <w14:solidFill>
                                  <w14:schemeClr w14:val="bg1"/>
                                </w14:solidFill>
                              </w14:textFill>
                            </w:rPr>
                            <w:t>5.21</w:t>
                          </w:r>
                          <w:r>
                            <w:rPr>
                              <w:rFonts w:hint="eastAsia"/>
                              <w:color w:val="FFFFFF" w:themeColor="background1"/>
                              <w:sz w:val="24"/>
                              <w14:textFill>
                                <w14:solidFill>
                                  <w14:schemeClr w14:val="bg1"/>
                                </w14:solidFill>
                              </w14:textFill>
                            </w:rPr>
                            <w:t xml:space="preserve">  国金视点</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23.75pt;margin-top:-11.35pt;height:24.8pt;width:177.2pt;mso-position-horizontal-relative:margin;mso-wrap-distance-bottom:3.6pt;mso-wrap-distance-left:9pt;mso-wrap-distance-right:9pt;mso-wrap-distance-top:3.6pt;z-index:251659264;mso-width-relative:page;mso-height-relative:page;" filled="f" stroked="f" coordsize="21600,21600" o:gfxdata="UEsDBAoAAAAAAIdO4kAAAAAAAAAAAAAAAAAEAAAAZHJzL1BLAwQUAAAACACHTuJAsXYhuNgAAAAL&#10;AQAADwAAAGRycy9kb3ducmV2LnhtbE2Py07DMBBF90j8gzVI7Fo7UZuSkEkXILaglofEzo2nSUQ8&#10;jmK3CX+PuyrL0T2690y5nW0vzjT6zjFCslQgiGtnOm4QPt5fFg8gfNBsdO+YEH7Jw7a6vSl1YdzE&#10;OzrvQyNiCftCI7QhDIWUvm7Jar90A3HMjm60OsRzbKQZ9RTLbS9TpTJpdcdxodUDPbVU/+xPFuHz&#10;9fj9tVJvzbNdD5OblWSbS8T7u0Q9ggg0hysMF/2oDlV0OrgTGy96hGy1WUcUYZGmGxAXQqkkB3FA&#10;SLMcZFXK/z9Uf1BLAwQUAAAACACHTuJA7uSZlQkCAADdAwAADgAAAGRycy9lMm9Eb2MueG1srVPN&#10;bhMxEL4j8Q6W72R/SNpmFacqrYqQClQqPIDj9WYt1h5jO9kNDwBvwIkL9z5XnoOxNw0R3BB7sOyd&#10;mc/zffN5cTnojmyl8woMo8Ukp0QaAbUya0Y/frh9cUGJD9zUvAMjGd1JTy+Xz58telvJElroaukI&#10;ghhf9ZbRNgRbZZkXrdTcT8BKg8EGnOYBj26d1Y73iK67rMzzs6wHV1sHQnqPf2/GIF0m/KaRIrxv&#10;Gi8D6RjF3kJaXVpXcc2WC16tHbetEoc2+D90obkyeOkR6oYHTjZO/QWllXDgoQkTATqDplFCJg7I&#10;psj/YPPQcisTFxTH26NM/v/Binfbe0dUzWhZnFNiuMYh7b9/2/943P/8SsooUG99hXkPFjPD8AoG&#10;HHQi6+0diE+eGLhuuVnLK+egbyWvscEiVmYnpSOOjyCr/i3UeA/fBEhAQ+N0VA/1IIiOg9odhyOH&#10;QAT+LMtZPp1iSGDsZTGdn6XpZbx6qrbOh9cSNIkbRh0OP6Hz7Z0PsRtePaXEywzcqq5LBugM6Rmd&#10;z8pZKjiJaBXQn53SjF7k8Uu0eNWZA7tIaKQWhtVwUGsF9Q55Ohj9hu8DNy24L5T06DVG/ecNd5KS&#10;7o1BreZFIhbSYTo7L5GlO42sTiPcCIRiNFAybq9DMvTI6Qo1bVSiG8UfOzn0ih5KKhz8Hk16ek5Z&#10;v1/l8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xdiG42AAAAAsBAAAPAAAAAAAAAAEAIAAAACIA&#10;AABkcnMvZG93bnJldi54bWxQSwECFAAUAAAACACHTuJA7uSZlQkCAADdAwAADgAAAAAAAAABACAA&#10;AAAnAQAAZHJzL2Uyb0RvYy54bWxQSwUGAAAAAAYABgBZAQAAogUAAAAA&#10;">
              <v:fill on="f" focussize="0,0"/>
              <v:stroke on="f" miterlimit="8" joinstyle="miter"/>
              <v:imagedata o:title=""/>
              <o:lock v:ext="edit" aspectratio="f"/>
              <v:textbox>
                <w:txbxContent>
                  <w:p>
                    <w:pPr>
                      <w:rPr>
                        <w:color w:val="FFFFFF" w:themeColor="background1"/>
                        <w:sz w:val="24"/>
                        <w14:textFill>
                          <w14:solidFill>
                            <w14:schemeClr w14:val="bg1"/>
                          </w14:solidFill>
                        </w14:textFill>
                      </w:rPr>
                    </w:pPr>
                    <w:r>
                      <w:rPr>
                        <w:color w:val="FFFFFF" w:themeColor="background1"/>
                        <w:sz w:val="24"/>
                        <w14:textFill>
                          <w14:solidFill>
                            <w14:schemeClr w14:val="bg1"/>
                          </w14:solidFill>
                        </w14:textFill>
                      </w:rPr>
                      <w:t>20</w:t>
                    </w:r>
                    <w:r>
                      <w:rPr>
                        <w:rFonts w:hint="eastAsia"/>
                        <w:color w:val="FFFFFF" w:themeColor="background1"/>
                        <w:sz w:val="24"/>
                        <w14:textFill>
                          <w14:solidFill>
                            <w14:schemeClr w14:val="bg1"/>
                          </w14:solidFill>
                        </w14:textFill>
                      </w:rPr>
                      <w:t>20.0</w:t>
                    </w:r>
                    <w:r>
                      <w:rPr>
                        <w:rFonts w:hint="eastAsia"/>
                        <w:color w:val="FFFFFF" w:themeColor="background1"/>
                        <w:sz w:val="24"/>
                        <w:lang w:val="en-US" w:eastAsia="zh-CN"/>
                        <w14:textFill>
                          <w14:solidFill>
                            <w14:schemeClr w14:val="bg1"/>
                          </w14:solidFill>
                        </w14:textFill>
                      </w:rPr>
                      <w:t>5.21</w:t>
                    </w:r>
                    <w:r>
                      <w:rPr>
                        <w:rFonts w:hint="eastAsia"/>
                        <w:color w:val="FFFFFF" w:themeColor="background1"/>
                        <w:sz w:val="24"/>
                        <w14:textFill>
                          <w14:solidFill>
                            <w14:schemeClr w14:val="bg1"/>
                          </w14:solidFill>
                        </w14:textFill>
                      </w:rPr>
                      <w:t xml:space="preserve">  国金视点</w:t>
                    </w:r>
                  </w:p>
                </w:txbxContent>
              </v:textbox>
              <w10:wrap type="square"/>
            </v:shape>
          </w:pict>
        </mc:Fallback>
      </mc:AlternateContent>
    </w:r>
    <w:r>
      <w:drawing>
        <wp:anchor distT="0" distB="0" distL="114300" distR="114300" simplePos="0" relativeHeight="251657216" behindDoc="0" locked="0" layoutInCell="1" allowOverlap="1">
          <wp:simplePos x="0" y="0"/>
          <wp:positionH relativeFrom="margin">
            <wp:posOffset>-212090</wp:posOffset>
          </wp:positionH>
          <wp:positionV relativeFrom="paragraph">
            <wp:posOffset>-290830</wp:posOffset>
          </wp:positionV>
          <wp:extent cx="6622415" cy="434340"/>
          <wp:effectExtent l="0" t="0" r="7620" b="381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622310" cy="4343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86F"/>
    <w:rsid w:val="00036EA0"/>
    <w:rsid w:val="00086FB7"/>
    <w:rsid w:val="000A0A4A"/>
    <w:rsid w:val="000B1113"/>
    <w:rsid w:val="000B48E6"/>
    <w:rsid w:val="0017306F"/>
    <w:rsid w:val="00184476"/>
    <w:rsid w:val="001C4AE3"/>
    <w:rsid w:val="001F4CC0"/>
    <w:rsid w:val="00220DE5"/>
    <w:rsid w:val="002E4410"/>
    <w:rsid w:val="002F2D75"/>
    <w:rsid w:val="0030738B"/>
    <w:rsid w:val="0035641E"/>
    <w:rsid w:val="003906FB"/>
    <w:rsid w:val="003D6398"/>
    <w:rsid w:val="003E03CD"/>
    <w:rsid w:val="003E457C"/>
    <w:rsid w:val="003F5077"/>
    <w:rsid w:val="00486726"/>
    <w:rsid w:val="004D4282"/>
    <w:rsid w:val="004F7C84"/>
    <w:rsid w:val="00501A60"/>
    <w:rsid w:val="0052535D"/>
    <w:rsid w:val="005712F2"/>
    <w:rsid w:val="00575657"/>
    <w:rsid w:val="005855C0"/>
    <w:rsid w:val="00612717"/>
    <w:rsid w:val="00653B6D"/>
    <w:rsid w:val="00690F0B"/>
    <w:rsid w:val="00702B9D"/>
    <w:rsid w:val="007301EF"/>
    <w:rsid w:val="0073059B"/>
    <w:rsid w:val="007D6729"/>
    <w:rsid w:val="007E0AB5"/>
    <w:rsid w:val="00802C5A"/>
    <w:rsid w:val="00820FD3"/>
    <w:rsid w:val="00876A97"/>
    <w:rsid w:val="008D38C4"/>
    <w:rsid w:val="008E137B"/>
    <w:rsid w:val="00930B4C"/>
    <w:rsid w:val="009460BA"/>
    <w:rsid w:val="009A6FD6"/>
    <w:rsid w:val="009B504F"/>
    <w:rsid w:val="009C111B"/>
    <w:rsid w:val="009E35BA"/>
    <w:rsid w:val="00A126AF"/>
    <w:rsid w:val="00A41EBE"/>
    <w:rsid w:val="00A6286F"/>
    <w:rsid w:val="00A86ACD"/>
    <w:rsid w:val="00AC6ED6"/>
    <w:rsid w:val="00AF5696"/>
    <w:rsid w:val="00B260B4"/>
    <w:rsid w:val="00B631D7"/>
    <w:rsid w:val="00B6462A"/>
    <w:rsid w:val="00BA4550"/>
    <w:rsid w:val="00C4267A"/>
    <w:rsid w:val="00C66A21"/>
    <w:rsid w:val="00C80696"/>
    <w:rsid w:val="00C87281"/>
    <w:rsid w:val="00CD340C"/>
    <w:rsid w:val="00CD4426"/>
    <w:rsid w:val="00CE5852"/>
    <w:rsid w:val="00D712F2"/>
    <w:rsid w:val="00E32A56"/>
    <w:rsid w:val="00EB07CB"/>
    <w:rsid w:val="00EB2C2F"/>
    <w:rsid w:val="00ED31DC"/>
    <w:rsid w:val="00ED694B"/>
    <w:rsid w:val="00FE54E2"/>
    <w:rsid w:val="03250EC0"/>
    <w:rsid w:val="05413A1F"/>
    <w:rsid w:val="076B6348"/>
    <w:rsid w:val="0A9B79BB"/>
    <w:rsid w:val="0C991768"/>
    <w:rsid w:val="0CDB663F"/>
    <w:rsid w:val="0D66035F"/>
    <w:rsid w:val="0E4C1703"/>
    <w:rsid w:val="105268FF"/>
    <w:rsid w:val="11BA4254"/>
    <w:rsid w:val="230A1278"/>
    <w:rsid w:val="28D56412"/>
    <w:rsid w:val="29134E54"/>
    <w:rsid w:val="2BBF1B64"/>
    <w:rsid w:val="2C3B2471"/>
    <w:rsid w:val="2C8949B9"/>
    <w:rsid w:val="2CD418CB"/>
    <w:rsid w:val="2E1D58CB"/>
    <w:rsid w:val="2E4A4142"/>
    <w:rsid w:val="2EBA7103"/>
    <w:rsid w:val="2EBB2315"/>
    <w:rsid w:val="30613E51"/>
    <w:rsid w:val="32BF5BB9"/>
    <w:rsid w:val="335553E5"/>
    <w:rsid w:val="3CEE3E9D"/>
    <w:rsid w:val="3D432F38"/>
    <w:rsid w:val="3DEC5FE2"/>
    <w:rsid w:val="41597C5A"/>
    <w:rsid w:val="45F64A66"/>
    <w:rsid w:val="4B226A07"/>
    <w:rsid w:val="4C7046ED"/>
    <w:rsid w:val="4DCE2F23"/>
    <w:rsid w:val="4E3F0049"/>
    <w:rsid w:val="556D42AD"/>
    <w:rsid w:val="58101D32"/>
    <w:rsid w:val="5871205F"/>
    <w:rsid w:val="598B275E"/>
    <w:rsid w:val="5DEC5E94"/>
    <w:rsid w:val="5E5070DB"/>
    <w:rsid w:val="62F71E17"/>
    <w:rsid w:val="630C0212"/>
    <w:rsid w:val="6D3C1358"/>
    <w:rsid w:val="72370D97"/>
    <w:rsid w:val="74036472"/>
    <w:rsid w:val="795B5CA8"/>
    <w:rsid w:val="797D3E2D"/>
    <w:rsid w:val="7B22162E"/>
    <w:rsid w:val="7C7D10AB"/>
    <w:rsid w:val="7D9E4E95"/>
    <w:rsid w:val="7E7F4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styleId="11">
    <w:name w:val="Placeholder Text"/>
    <w:basedOn w:val="8"/>
    <w:semiHidden/>
    <w:qFormat/>
    <w:uiPriority w:val="99"/>
    <w:rPr>
      <w:color w:val="808080"/>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53D728-F814-4B63-BBBD-C2BD71745007}">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Words>
  <Characters>248</Characters>
  <Lines>2</Lines>
  <Paragraphs>1</Paragraphs>
  <TotalTime>1</TotalTime>
  <ScaleCrop>false</ScaleCrop>
  <LinksUpToDate>false</LinksUpToDate>
  <CharactersWithSpaces>290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2019-04-11T08:49:00Z</dcterms:created>
  <dc:creator>BAILUSHAONIAN</dc:creator>
  <dc:description>2018.9.21|锌日报分析</dc:description>
  <cp:lastModifiedBy>Administrator</cp:lastModifiedBy>
  <cp:lastPrinted>2019-04-11T07:22:00Z</cp:lastPrinted>
  <dcterms:modified xsi:type="dcterms:W3CDTF">2020-05-21T07:24:11Z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