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苹果短线或可做多</w:t>
      </w:r>
    </w:p>
    <w:p>
      <w:pPr>
        <w:wordWrap w:val="0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近期市场整体走势偏震荡，主要受宏观层面干扰因素比较大，由于美国大选结果的影响，原油、黄金等国际大宗商品都出现不同的振幅，反观国内期货市场，国际联动的商品也跟随出现不小的振幅，不过当前多头与空头似乎处于按兵不动的状态。但从近两日市场整体来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看，国内特有品种苹果或许会有不错的交易机会。</w:t>
      </w:r>
    </w:p>
    <w:p>
      <w:pPr>
        <w:wordWrap w:val="0"/>
      </w:pPr>
      <w:r>
        <w:drawing>
          <wp:inline distT="0" distB="0" distL="114300" distR="114300">
            <wp:extent cx="6176645" cy="3434715"/>
            <wp:effectExtent l="0" t="0" r="14605" b="133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博易大师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截止今日（11月11日）收盘，苹果2101连续三日收阳，并且成交量一天比一天大，量价都在表明短期有资金在抄底。从技术指标MACD上看绿柱量能在收缩，说明或许此时或为底部区域。当前价格已上穿10日均线，短期或转为强势状态，因此建议投资者从短线角度上逢低做多，止损位可设置在10日均线处。</w:t>
      </w:r>
    </w:p>
    <w:p>
      <w:pPr>
        <w:ind w:firstLine="562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857625" cy="3590925"/>
            <wp:effectExtent l="0" t="0" r="9525" b="9525"/>
            <wp:docPr id="2" name="图片 2" descr="附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加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2020.11.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2020.11.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A051AAA"/>
    <w:rsid w:val="0A09740E"/>
    <w:rsid w:val="0A102990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74A7901"/>
    <w:rsid w:val="47906F2E"/>
    <w:rsid w:val="47EA3D80"/>
    <w:rsid w:val="48A82FE6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6D2B06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9A6032"/>
    <w:rsid w:val="731D6F15"/>
    <w:rsid w:val="738B47C9"/>
    <w:rsid w:val="73F05AE2"/>
    <w:rsid w:val="745A6D2E"/>
    <w:rsid w:val="74B12EAC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0</TotalTime>
  <ScaleCrop>false</ScaleCrop>
  <LinksUpToDate>false</LinksUpToDate>
  <CharactersWithSpaces>522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2020-11-11T07:43:08Z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